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hAnsi="黑体" w:eastAsia="黑体"/>
          <w:sz w:val="28"/>
        </w:rPr>
      </w:pPr>
      <w:r>
        <w:rPr>
          <w:rFonts w:hint="eastAsia" w:ascii="黑体" w:hAnsi="黑体" w:eastAsia="黑体"/>
          <w:sz w:val="28"/>
        </w:rPr>
        <w:t xml:space="preserve">   </w:t>
      </w:r>
    </w:p>
    <w:p>
      <w:pPr>
        <w:spacing w:line="360" w:lineRule="auto"/>
        <w:jc w:val="center"/>
        <w:rPr>
          <w:rFonts w:ascii="黑体" w:hAnsi="黑体" w:eastAsia="黑体"/>
          <w:sz w:val="28"/>
        </w:rPr>
      </w:pPr>
      <w:r>
        <w:rPr>
          <w:rFonts w:hint="eastAsia" w:ascii="黑体" w:hAnsi="黑体" w:eastAsia="黑体"/>
          <w:sz w:val="28"/>
        </w:rPr>
        <w:t xml:space="preserve">   </w:t>
      </w:r>
    </w:p>
    <w:p>
      <w:pPr>
        <w:spacing w:line="360" w:lineRule="auto"/>
        <w:jc w:val="center"/>
        <w:rPr>
          <w:rFonts w:eastAsia="黑体"/>
          <w:b/>
          <w:sz w:val="84"/>
        </w:rPr>
      </w:pPr>
      <w:r>
        <w:rPr>
          <w:rFonts w:hint="eastAsia" w:eastAsia="黑体"/>
          <w:b/>
          <w:sz w:val="84"/>
        </w:rPr>
        <w:t xml:space="preserve"> 招</w:t>
      </w:r>
      <w:r>
        <w:rPr>
          <w:rFonts w:eastAsia="黑体"/>
          <w:b/>
          <w:sz w:val="84"/>
        </w:rPr>
        <w:t xml:space="preserve"> </w:t>
      </w:r>
      <w:r>
        <w:rPr>
          <w:rFonts w:hint="eastAsia" w:eastAsia="黑体"/>
          <w:b/>
          <w:sz w:val="84"/>
        </w:rPr>
        <w:t>标</w:t>
      </w:r>
      <w:r>
        <w:rPr>
          <w:rFonts w:eastAsia="黑体"/>
          <w:b/>
          <w:sz w:val="84"/>
        </w:rPr>
        <w:t xml:space="preserve"> </w:t>
      </w:r>
      <w:r>
        <w:rPr>
          <w:rFonts w:hint="eastAsia" w:eastAsia="黑体"/>
          <w:b/>
          <w:sz w:val="84"/>
        </w:rPr>
        <w:t>文</w:t>
      </w:r>
      <w:r>
        <w:rPr>
          <w:rFonts w:eastAsia="黑体"/>
          <w:b/>
          <w:sz w:val="84"/>
        </w:rPr>
        <w:t xml:space="preserve"> </w:t>
      </w:r>
      <w:r>
        <w:rPr>
          <w:rFonts w:hint="eastAsia" w:eastAsia="黑体"/>
          <w:b/>
          <w:sz w:val="84"/>
        </w:rPr>
        <w:t>件</w:t>
      </w:r>
    </w:p>
    <w:p>
      <w:pPr>
        <w:spacing w:line="360" w:lineRule="auto"/>
        <w:jc w:val="center"/>
        <w:rPr>
          <w:b/>
          <w:sz w:val="36"/>
        </w:rPr>
      </w:pPr>
      <w:r>
        <w:rPr>
          <w:rFonts w:hint="eastAsia"/>
          <w:b/>
          <w:sz w:val="36"/>
        </w:rPr>
        <w:t xml:space="preserve">   </w:t>
      </w:r>
    </w:p>
    <w:p>
      <w:pPr>
        <w:spacing w:line="360" w:lineRule="auto"/>
        <w:ind w:firstLine="1084" w:firstLineChars="300"/>
        <w:rPr>
          <w:b/>
          <w:sz w:val="36"/>
        </w:rPr>
      </w:pPr>
    </w:p>
    <w:p>
      <w:pPr>
        <w:spacing w:line="360" w:lineRule="auto"/>
        <w:ind w:firstLine="1084" w:firstLineChars="300"/>
        <w:rPr>
          <w:b/>
          <w:sz w:val="36"/>
        </w:rPr>
      </w:pPr>
    </w:p>
    <w:p>
      <w:pPr>
        <w:spacing w:line="360" w:lineRule="auto"/>
        <w:ind w:firstLine="1066" w:firstLineChars="295"/>
        <w:rPr>
          <w:b/>
          <w:sz w:val="36"/>
        </w:rPr>
      </w:pPr>
      <w:r>
        <w:rPr>
          <w:rFonts w:hint="eastAsia"/>
          <w:b/>
          <w:sz w:val="36"/>
        </w:rPr>
        <w:t>招标编号：</w:t>
      </w:r>
      <w:r>
        <w:rPr>
          <w:rFonts w:hint="eastAsia"/>
          <w:b/>
          <w:sz w:val="36"/>
          <w:lang w:val="zh-CN"/>
        </w:rPr>
        <w:t>CECEP-PD-201</w:t>
      </w:r>
      <w:r>
        <w:rPr>
          <w:rFonts w:hint="eastAsia"/>
          <w:b/>
          <w:sz w:val="36"/>
        </w:rPr>
        <w:t>7</w:t>
      </w:r>
      <w:r>
        <w:rPr>
          <w:rFonts w:hint="eastAsia"/>
          <w:b/>
          <w:sz w:val="36"/>
          <w:lang w:val="zh-CN"/>
        </w:rPr>
        <w:t>-</w:t>
      </w:r>
      <w:r>
        <w:rPr>
          <w:rFonts w:hint="eastAsia"/>
          <w:b/>
          <w:sz w:val="36"/>
        </w:rPr>
        <w:t>0005</w:t>
      </w:r>
    </w:p>
    <w:p>
      <w:pPr>
        <w:ind w:firstLine="1066" w:firstLineChars="295"/>
        <w:rPr>
          <w:b/>
          <w:sz w:val="36"/>
        </w:rPr>
      </w:pPr>
      <w:r>
        <w:rPr>
          <w:rFonts w:hint="eastAsia"/>
          <w:b/>
          <w:sz w:val="36"/>
        </w:rPr>
        <w:t>项目名称：中节能太阳能科技（镇江）有限公司2017年8月至2018年7月度固废垃圾回收处理招标</w:t>
      </w:r>
    </w:p>
    <w:p>
      <w:pPr>
        <w:jc w:val="center"/>
        <w:rPr>
          <w:rFonts w:ascii="黑体" w:hAnsi="宋体" w:eastAsia="黑体"/>
          <w:w w:val="80"/>
          <w:sz w:val="32"/>
        </w:rPr>
      </w:pPr>
    </w:p>
    <w:p>
      <w:pPr>
        <w:spacing w:line="360" w:lineRule="auto"/>
        <w:rPr>
          <w:b/>
          <w:sz w:val="36"/>
        </w:rPr>
      </w:pPr>
    </w:p>
    <w:p>
      <w:pPr>
        <w:spacing w:line="360" w:lineRule="auto"/>
        <w:rPr>
          <w:b/>
          <w:sz w:val="44"/>
        </w:rPr>
      </w:pPr>
    </w:p>
    <w:p>
      <w:pPr>
        <w:spacing w:line="360" w:lineRule="auto"/>
        <w:rPr>
          <w:b/>
          <w:sz w:val="44"/>
        </w:rPr>
      </w:pPr>
    </w:p>
    <w:p>
      <w:pPr>
        <w:spacing w:line="360" w:lineRule="auto"/>
        <w:rPr>
          <w:b/>
          <w:sz w:val="36"/>
        </w:rPr>
      </w:pPr>
    </w:p>
    <w:p>
      <w:pPr>
        <w:spacing w:line="360" w:lineRule="auto"/>
        <w:rPr>
          <w:b/>
          <w:sz w:val="36"/>
        </w:rPr>
      </w:pPr>
    </w:p>
    <w:p>
      <w:pPr>
        <w:spacing w:line="360" w:lineRule="auto"/>
        <w:rPr>
          <w:b/>
          <w:sz w:val="36"/>
        </w:rPr>
      </w:pPr>
    </w:p>
    <w:p>
      <w:pPr>
        <w:spacing w:line="360" w:lineRule="auto"/>
        <w:jc w:val="center"/>
        <w:rPr>
          <w:b/>
          <w:sz w:val="32"/>
        </w:rPr>
      </w:pPr>
      <w:r>
        <w:rPr>
          <w:rFonts w:hint="eastAsia"/>
          <w:b/>
          <w:sz w:val="32"/>
        </w:rPr>
        <w:t>招标人：</w:t>
      </w:r>
      <w:r>
        <w:rPr>
          <w:rFonts w:hint="eastAsia" w:ascii="黑体" w:eastAsia="黑体"/>
          <w:sz w:val="32"/>
        </w:rPr>
        <w:t>中节能太阳能科技（镇江）有限公司</w:t>
      </w:r>
    </w:p>
    <w:p>
      <w:pPr>
        <w:spacing w:line="360" w:lineRule="auto"/>
        <w:rPr>
          <w:rFonts w:ascii="宋体" w:hAnsi="宋体"/>
          <w:b/>
          <w:sz w:val="32"/>
        </w:rPr>
      </w:pPr>
      <w:r>
        <w:rPr>
          <w:rFonts w:hint="eastAsia"/>
          <w:b/>
          <w:sz w:val="32"/>
        </w:rPr>
        <w:t xml:space="preserve">      日  期：</w:t>
      </w:r>
      <w:r>
        <w:rPr>
          <w:rFonts w:hint="eastAsia" w:ascii="宋体" w:hAnsi="宋体"/>
          <w:b/>
          <w:sz w:val="32"/>
        </w:rPr>
        <w:t>2017年8月</w:t>
      </w:r>
      <w:r>
        <w:rPr>
          <w:rFonts w:hint="eastAsia" w:ascii="宋体" w:hAnsi="宋体"/>
          <w:b/>
          <w:sz w:val="32"/>
          <w:lang w:val="en-US" w:eastAsia="zh-CN"/>
        </w:rPr>
        <w:t>10</w:t>
      </w:r>
      <w:r>
        <w:rPr>
          <w:rFonts w:hint="eastAsia" w:ascii="宋体" w:hAnsi="宋体"/>
          <w:b/>
          <w:sz w:val="32"/>
        </w:rPr>
        <w:t>日</w:t>
      </w:r>
    </w:p>
    <w:p>
      <w:pPr>
        <w:spacing w:line="360" w:lineRule="auto"/>
        <w:rPr>
          <w:rFonts w:ascii="宋体" w:hAnsi="宋体"/>
          <w:b/>
          <w:sz w:val="32"/>
        </w:rPr>
      </w:pPr>
    </w:p>
    <w:p>
      <w:pPr>
        <w:spacing w:line="360" w:lineRule="auto"/>
        <w:rPr>
          <w:rFonts w:ascii="宋体" w:hAnsi="宋体"/>
          <w:b/>
          <w:sz w:val="32"/>
        </w:rPr>
      </w:pPr>
    </w:p>
    <w:p>
      <w:pPr>
        <w:spacing w:line="360" w:lineRule="auto"/>
        <w:rPr>
          <w:rFonts w:ascii="宋体" w:hAnsi="宋体"/>
          <w:b/>
          <w:sz w:val="32"/>
        </w:rPr>
      </w:pPr>
    </w:p>
    <w:p>
      <w:pPr>
        <w:spacing w:line="360" w:lineRule="auto"/>
        <w:rPr>
          <w:rFonts w:ascii="宋体" w:hAnsi="宋体"/>
          <w:b/>
          <w:sz w:val="32"/>
        </w:rPr>
      </w:pPr>
    </w:p>
    <w:p>
      <w:pPr>
        <w:spacing w:line="360" w:lineRule="auto"/>
        <w:rPr>
          <w:rFonts w:ascii="宋体" w:hAnsi="宋体"/>
          <w:b/>
          <w:sz w:val="32"/>
        </w:rPr>
      </w:pPr>
    </w:p>
    <w:p>
      <w:pPr>
        <w:spacing w:line="360" w:lineRule="auto"/>
        <w:rPr>
          <w:rFonts w:ascii="宋体" w:hAnsi="宋体"/>
          <w:b/>
          <w:sz w:val="32"/>
        </w:rPr>
      </w:pPr>
    </w:p>
    <w:p>
      <w:pPr>
        <w:spacing w:line="360" w:lineRule="auto"/>
        <w:jc w:val="center"/>
        <w:rPr>
          <w:rFonts w:ascii="宋体" w:hAnsi="宋体"/>
          <w:b/>
          <w:sz w:val="36"/>
        </w:rPr>
      </w:pPr>
      <w:r>
        <w:rPr>
          <w:rFonts w:hint="eastAsia" w:ascii="宋体" w:hAnsi="宋体"/>
          <w:b/>
          <w:sz w:val="36"/>
        </w:rPr>
        <w:t xml:space="preserve">   </w:t>
      </w:r>
    </w:p>
    <w:p>
      <w:pPr>
        <w:spacing w:line="360" w:lineRule="auto"/>
        <w:jc w:val="center"/>
        <w:rPr>
          <w:rFonts w:ascii="宋体" w:hAnsi="宋体"/>
          <w:b/>
          <w:sz w:val="36"/>
        </w:rPr>
      </w:pPr>
    </w:p>
    <w:p>
      <w:pPr>
        <w:rPr>
          <w:rFonts w:ascii="宋体" w:hAnsi="宋体"/>
          <w:sz w:val="28"/>
        </w:rPr>
        <w:sectPr>
          <w:footerReference r:id="rId3" w:type="default"/>
          <w:pgSz w:w="11906" w:h="16838"/>
          <w:pgMar w:top="1389" w:right="1797" w:bottom="1389" w:left="1797" w:header="851" w:footer="851" w:gutter="0"/>
          <w:pgNumType w:start="1"/>
          <w:cols w:space="720" w:num="1"/>
          <w:docGrid w:type="lines" w:linePitch="312" w:charSpace="0"/>
        </w:sectPr>
      </w:pPr>
    </w:p>
    <w:p>
      <w:pPr>
        <w:rPr>
          <w:rFonts w:ascii="宋体" w:hAnsi="宋体"/>
          <w:sz w:val="28"/>
        </w:rPr>
      </w:pPr>
      <w:r>
        <w:rPr>
          <w:rFonts w:hint="eastAsia" w:ascii="宋体" w:hAnsi="宋体"/>
          <w:sz w:val="28"/>
        </w:rPr>
        <w:t>中节能太阳能科技（镇江）有限公司决定对2017年8月至2018年7月固废垃圾进行回收处理招标。</w:t>
      </w:r>
    </w:p>
    <w:p>
      <w:pPr>
        <w:pStyle w:val="14"/>
        <w:numPr>
          <w:ilvl w:val="0"/>
          <w:numId w:val="1"/>
        </w:numPr>
        <w:ind w:firstLineChars="0"/>
        <w:rPr>
          <w:rFonts w:ascii="黑体" w:hAnsi="黑体" w:eastAsia="黑体"/>
          <w:sz w:val="28"/>
        </w:rPr>
      </w:pPr>
      <w:r>
        <w:rPr>
          <w:rFonts w:hint="eastAsia" w:ascii="黑体" w:hAnsi="黑体" w:eastAsia="黑体"/>
          <w:sz w:val="28"/>
        </w:rPr>
        <w:t>具体内容</w:t>
      </w:r>
    </w:p>
    <w:tbl>
      <w:tblPr>
        <w:tblStyle w:val="13"/>
        <w:tblW w:w="9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1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序号</w:t>
            </w:r>
          </w:p>
        </w:tc>
        <w:tc>
          <w:tcPr>
            <w:tcW w:w="1138" w:type="dxa"/>
            <w:vAlign w:val="center"/>
          </w:tcPr>
          <w:p>
            <w:pPr>
              <w:jc w:val="center"/>
              <w:rPr>
                <w:rFonts w:ascii="宋体" w:hAnsi="宋体"/>
                <w:sz w:val="28"/>
                <w:szCs w:val="22"/>
              </w:rPr>
            </w:pPr>
            <w:r>
              <w:rPr>
                <w:rFonts w:hint="eastAsia" w:ascii="宋体" w:hAnsi="宋体"/>
                <w:sz w:val="28"/>
                <w:szCs w:val="22"/>
              </w:rPr>
              <w:t>条款号</w:t>
            </w:r>
          </w:p>
        </w:tc>
        <w:tc>
          <w:tcPr>
            <w:tcW w:w="7442" w:type="dxa"/>
          </w:tcPr>
          <w:p>
            <w:pPr>
              <w:spacing w:line="360" w:lineRule="auto"/>
              <w:jc w:val="center"/>
              <w:rPr>
                <w:rFonts w:ascii="宋体" w:hAnsi="宋体"/>
                <w:sz w:val="28"/>
                <w:szCs w:val="22"/>
              </w:rPr>
            </w:pPr>
            <w:r>
              <w:rPr>
                <w:rFonts w:hint="eastAsia" w:ascii="宋体" w:hAnsi="宋体"/>
                <w:sz w:val="28"/>
                <w:szCs w:val="22"/>
              </w:rPr>
              <w:t>招   标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1</w:t>
            </w:r>
          </w:p>
        </w:tc>
        <w:tc>
          <w:tcPr>
            <w:tcW w:w="1138" w:type="dxa"/>
          </w:tcPr>
          <w:p>
            <w:pPr>
              <w:spacing w:line="360" w:lineRule="auto"/>
              <w:jc w:val="center"/>
              <w:rPr>
                <w:rFonts w:ascii="宋体" w:hAnsi="宋体"/>
                <w:sz w:val="28"/>
                <w:szCs w:val="22"/>
              </w:rPr>
            </w:pPr>
            <w:r>
              <w:rPr>
                <w:rFonts w:hint="eastAsia" w:ascii="宋体" w:hAnsi="宋体"/>
                <w:sz w:val="28"/>
                <w:szCs w:val="22"/>
              </w:rPr>
              <w:t>1.1</w:t>
            </w:r>
          </w:p>
        </w:tc>
        <w:tc>
          <w:tcPr>
            <w:tcW w:w="7442" w:type="dxa"/>
          </w:tcPr>
          <w:p>
            <w:pPr>
              <w:jc w:val="left"/>
              <w:rPr>
                <w:rFonts w:ascii="宋体" w:hAnsi="宋体"/>
                <w:sz w:val="28"/>
                <w:szCs w:val="22"/>
                <w:u w:val="single"/>
              </w:rPr>
            </w:pPr>
            <w:r>
              <w:rPr>
                <w:rFonts w:hint="eastAsia" w:ascii="宋体" w:hAnsi="宋体"/>
                <w:sz w:val="28"/>
                <w:szCs w:val="22"/>
              </w:rPr>
              <w:t>项目名称：</w:t>
            </w:r>
            <w:r>
              <w:rPr>
                <w:rFonts w:hint="eastAsia" w:ascii="Calibri" w:hAnsi="Calibri"/>
                <w:sz w:val="28"/>
                <w:szCs w:val="22"/>
                <w:u w:val="single"/>
              </w:rPr>
              <w:t>中节能太阳能科技（镇江）有限公司</w:t>
            </w:r>
            <w:r>
              <w:rPr>
                <w:rFonts w:hint="eastAsia" w:ascii="宋体" w:hAnsi="宋体"/>
                <w:sz w:val="28"/>
              </w:rPr>
              <w:t>2017年8</w:t>
            </w:r>
            <w:r>
              <w:rPr>
                <w:rFonts w:hint="eastAsia" w:ascii="宋体" w:hAnsi="宋体"/>
                <w:sz w:val="28"/>
                <w:u w:val="single"/>
              </w:rPr>
              <w:t>月至2018年7月</w:t>
            </w:r>
            <w:r>
              <w:rPr>
                <w:rFonts w:hint="eastAsia" w:ascii="Calibri" w:hAnsi="Calibri"/>
                <w:sz w:val="28"/>
                <w:szCs w:val="22"/>
                <w:u w:val="single"/>
              </w:rPr>
              <w:t>固废垃圾采购招标。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2</w:t>
            </w:r>
          </w:p>
        </w:tc>
        <w:tc>
          <w:tcPr>
            <w:tcW w:w="1138" w:type="dxa"/>
          </w:tcPr>
          <w:p>
            <w:pPr>
              <w:spacing w:line="360" w:lineRule="auto"/>
              <w:jc w:val="center"/>
              <w:rPr>
                <w:rFonts w:ascii="宋体" w:hAnsi="宋体"/>
                <w:sz w:val="28"/>
                <w:szCs w:val="22"/>
              </w:rPr>
            </w:pPr>
            <w:r>
              <w:rPr>
                <w:rFonts w:hint="eastAsia" w:ascii="宋体" w:hAnsi="宋体"/>
                <w:sz w:val="28"/>
                <w:szCs w:val="22"/>
              </w:rPr>
              <w:t>2.1</w:t>
            </w:r>
          </w:p>
        </w:tc>
        <w:tc>
          <w:tcPr>
            <w:tcW w:w="7442" w:type="dxa"/>
          </w:tcPr>
          <w:p>
            <w:pPr>
              <w:jc w:val="left"/>
              <w:rPr>
                <w:rFonts w:ascii="宋体" w:hAnsi="宋体"/>
                <w:sz w:val="28"/>
                <w:szCs w:val="22"/>
              </w:rPr>
            </w:pPr>
            <w:r>
              <w:rPr>
                <w:rFonts w:hint="eastAsia" w:ascii="Calibri" w:hAnsi="Calibri"/>
                <w:sz w:val="28"/>
                <w:szCs w:val="22"/>
              </w:rPr>
              <w:t>投标截止时间：</w:t>
            </w:r>
            <w:r>
              <w:rPr>
                <w:rFonts w:hint="eastAsia" w:ascii="Calibri" w:hAnsi="Calibri"/>
                <w:sz w:val="28"/>
                <w:szCs w:val="22"/>
                <w:u w:val="single"/>
              </w:rPr>
              <w:t xml:space="preserve">  2017  </w:t>
            </w:r>
            <w:r>
              <w:rPr>
                <w:rFonts w:hint="eastAsia" w:ascii="Calibri" w:hAnsi="Calibri"/>
                <w:sz w:val="28"/>
                <w:szCs w:val="22"/>
              </w:rPr>
              <w:t>年</w:t>
            </w:r>
            <w:r>
              <w:rPr>
                <w:rFonts w:hint="eastAsia" w:ascii="Calibri" w:hAnsi="Calibri"/>
                <w:sz w:val="28"/>
                <w:szCs w:val="22"/>
                <w:u w:val="single"/>
              </w:rPr>
              <w:t>8</w:t>
            </w:r>
            <w:r>
              <w:rPr>
                <w:rFonts w:hint="eastAsia" w:ascii="Calibri" w:hAnsi="Calibri"/>
                <w:sz w:val="28"/>
                <w:szCs w:val="22"/>
              </w:rPr>
              <w:t>月</w:t>
            </w:r>
            <w:r>
              <w:rPr>
                <w:rFonts w:hint="eastAsia" w:ascii="Calibri" w:hAnsi="Calibri"/>
                <w:sz w:val="28"/>
                <w:szCs w:val="22"/>
                <w:u w:val="single"/>
              </w:rPr>
              <w:t>17</w:t>
            </w:r>
            <w:r>
              <w:rPr>
                <w:rFonts w:hint="eastAsia" w:ascii="Calibri" w:hAnsi="Calibri"/>
                <w:sz w:val="28"/>
                <w:szCs w:val="22"/>
              </w:rPr>
              <w:t>日下午13：3</w:t>
            </w:r>
            <w:r>
              <w:rPr>
                <w:rFonts w:ascii="Calibri" w:hAnsi="Calibri"/>
                <w:sz w:val="28"/>
                <w:szCs w:val="22"/>
              </w:rPr>
              <w:t>0</w:t>
            </w:r>
            <w:r>
              <w:rPr>
                <w:rFonts w:hint="eastAsia" w:ascii="Calibri" w:hAnsi="Calibri"/>
                <w:sz w:val="28"/>
                <w:szCs w:val="22"/>
              </w:rPr>
              <w:t>（北京时间）。投标文件请于投标截止时间前送至开标地点，逾期递交的投标文件恕不接收。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3</w:t>
            </w:r>
          </w:p>
        </w:tc>
        <w:tc>
          <w:tcPr>
            <w:tcW w:w="1138" w:type="dxa"/>
          </w:tcPr>
          <w:p>
            <w:pPr>
              <w:spacing w:line="360" w:lineRule="auto"/>
              <w:jc w:val="center"/>
              <w:rPr>
                <w:rFonts w:ascii="宋体" w:hAnsi="宋体"/>
                <w:sz w:val="28"/>
                <w:szCs w:val="22"/>
              </w:rPr>
            </w:pPr>
            <w:r>
              <w:rPr>
                <w:rFonts w:hint="eastAsia" w:ascii="宋体" w:hAnsi="宋体"/>
                <w:sz w:val="28"/>
                <w:szCs w:val="22"/>
              </w:rPr>
              <w:t>3.1</w:t>
            </w:r>
          </w:p>
        </w:tc>
        <w:tc>
          <w:tcPr>
            <w:tcW w:w="7442" w:type="dxa"/>
          </w:tcPr>
          <w:p>
            <w:pPr>
              <w:jc w:val="left"/>
              <w:rPr>
                <w:rFonts w:ascii="Calibri" w:hAnsi="Calibri"/>
                <w:sz w:val="28"/>
                <w:szCs w:val="22"/>
              </w:rPr>
            </w:pPr>
            <w:r>
              <w:rPr>
                <w:rFonts w:ascii="Calibri" w:hAnsi="Calibri"/>
                <w:sz w:val="28"/>
                <w:szCs w:val="22"/>
              </w:rPr>
              <w:t>投标文件包括但不限于以下内容</w:t>
            </w:r>
            <w:r>
              <w:rPr>
                <w:rFonts w:hint="eastAsia" w:ascii="Calibri" w:hAnsi="Calibri"/>
                <w:sz w:val="28"/>
                <w:szCs w:val="22"/>
              </w:rPr>
              <w:t>：</w:t>
            </w:r>
          </w:p>
          <w:p>
            <w:pPr>
              <w:jc w:val="left"/>
              <w:rPr>
                <w:rFonts w:ascii="Calibri" w:hAnsi="Calibri"/>
                <w:sz w:val="28"/>
                <w:szCs w:val="22"/>
              </w:rPr>
            </w:pPr>
            <w:r>
              <w:rPr>
                <w:rFonts w:ascii="Calibri" w:hAnsi="Calibri"/>
                <w:sz w:val="28"/>
                <w:szCs w:val="22"/>
              </w:rPr>
              <w:t>投标报价表、</w:t>
            </w:r>
            <w:r>
              <w:rPr>
                <w:rFonts w:hint="eastAsia" w:ascii="Calibri" w:hAnsi="Calibri"/>
                <w:sz w:val="28"/>
                <w:szCs w:val="22"/>
              </w:rPr>
              <w:t>安全协议书。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11" w:type="dxa"/>
          </w:tcPr>
          <w:p>
            <w:pPr>
              <w:jc w:val="left"/>
              <w:rPr>
                <w:rFonts w:ascii="宋体" w:hAnsi="宋体"/>
                <w:color w:val="FF0000"/>
                <w:sz w:val="28"/>
                <w:szCs w:val="22"/>
              </w:rPr>
            </w:pPr>
            <w:r>
              <w:rPr>
                <w:rFonts w:hint="eastAsia" w:ascii="Calibri" w:hAnsi="Calibri"/>
                <w:color w:val="FF0000"/>
                <w:sz w:val="28"/>
                <w:szCs w:val="22"/>
              </w:rPr>
              <w:t>4</w:t>
            </w:r>
          </w:p>
        </w:tc>
        <w:tc>
          <w:tcPr>
            <w:tcW w:w="1138" w:type="dxa"/>
          </w:tcPr>
          <w:p>
            <w:pPr>
              <w:jc w:val="left"/>
              <w:rPr>
                <w:rFonts w:ascii="宋体" w:hAnsi="宋体"/>
                <w:color w:val="FF0000"/>
                <w:sz w:val="28"/>
                <w:szCs w:val="22"/>
              </w:rPr>
            </w:pPr>
            <w:r>
              <w:rPr>
                <w:rFonts w:hint="eastAsia" w:ascii="Calibri" w:hAnsi="Calibri"/>
                <w:color w:val="FF0000"/>
                <w:sz w:val="28"/>
                <w:szCs w:val="22"/>
              </w:rPr>
              <w:t>4.1</w:t>
            </w:r>
          </w:p>
        </w:tc>
        <w:tc>
          <w:tcPr>
            <w:tcW w:w="7442" w:type="dxa"/>
            <w:vAlign w:val="center"/>
          </w:tcPr>
          <w:p>
            <w:pPr>
              <w:jc w:val="left"/>
              <w:rPr>
                <w:rFonts w:ascii="宋体" w:hAnsi="宋体"/>
                <w:color w:val="FF0000"/>
                <w:sz w:val="28"/>
                <w:szCs w:val="22"/>
              </w:rPr>
            </w:pPr>
            <w:r>
              <w:rPr>
                <w:rFonts w:hint="eastAsia" w:ascii="Calibri" w:hAnsi="Calibri"/>
                <w:color w:val="FF0000"/>
                <w:sz w:val="28"/>
                <w:szCs w:val="22"/>
              </w:rPr>
              <w:t>投标方自愿报名参加招标方组织的此次招标活动，投标方向招标方交纳投标保证金人民币现金50000.00元（大写：伍万圆整）。投标方如在竞标中未中标，招标方在中标通知发出后30天内全额无息退还投标方缴纳的投标保证金，而投标方如在竞标中中标，投标保证金则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5</w:t>
            </w:r>
          </w:p>
        </w:tc>
        <w:tc>
          <w:tcPr>
            <w:tcW w:w="1138" w:type="dxa"/>
          </w:tcPr>
          <w:p>
            <w:pPr>
              <w:spacing w:line="360" w:lineRule="auto"/>
              <w:jc w:val="center"/>
              <w:rPr>
                <w:rFonts w:ascii="宋体" w:hAnsi="宋体"/>
                <w:sz w:val="28"/>
                <w:szCs w:val="22"/>
              </w:rPr>
            </w:pPr>
            <w:r>
              <w:rPr>
                <w:rFonts w:hint="eastAsia" w:ascii="宋体" w:hAnsi="宋体"/>
                <w:sz w:val="28"/>
                <w:szCs w:val="22"/>
              </w:rPr>
              <w:t>5.1</w:t>
            </w:r>
          </w:p>
        </w:tc>
        <w:tc>
          <w:tcPr>
            <w:tcW w:w="7442" w:type="dxa"/>
            <w:vAlign w:val="center"/>
          </w:tcPr>
          <w:p>
            <w:pPr>
              <w:spacing w:line="360" w:lineRule="auto"/>
              <w:rPr>
                <w:rFonts w:ascii="宋体" w:hAnsi="宋体"/>
                <w:sz w:val="28"/>
                <w:szCs w:val="22"/>
                <w:u w:val="single"/>
              </w:rPr>
            </w:pPr>
            <w:r>
              <w:rPr>
                <w:rFonts w:hint="eastAsia" w:ascii="宋体" w:hAnsi="宋体"/>
                <w:sz w:val="28"/>
                <w:szCs w:val="22"/>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6</w:t>
            </w:r>
          </w:p>
        </w:tc>
        <w:tc>
          <w:tcPr>
            <w:tcW w:w="1138" w:type="dxa"/>
          </w:tcPr>
          <w:p>
            <w:pPr>
              <w:spacing w:line="360" w:lineRule="auto"/>
              <w:jc w:val="center"/>
              <w:rPr>
                <w:rFonts w:ascii="宋体" w:hAnsi="宋体"/>
                <w:sz w:val="28"/>
                <w:szCs w:val="22"/>
              </w:rPr>
            </w:pPr>
            <w:r>
              <w:rPr>
                <w:rFonts w:hint="eastAsia" w:ascii="宋体" w:hAnsi="宋体"/>
                <w:sz w:val="28"/>
                <w:szCs w:val="22"/>
              </w:rPr>
              <w:t>6.1</w:t>
            </w:r>
          </w:p>
        </w:tc>
        <w:tc>
          <w:tcPr>
            <w:tcW w:w="7442" w:type="dxa"/>
          </w:tcPr>
          <w:p>
            <w:pPr>
              <w:spacing w:line="360" w:lineRule="auto"/>
              <w:rPr>
                <w:rFonts w:ascii="宋体" w:hAnsi="宋体"/>
                <w:sz w:val="28"/>
                <w:szCs w:val="22"/>
              </w:rPr>
            </w:pPr>
            <w:r>
              <w:rPr>
                <w:rFonts w:hint="eastAsia" w:ascii="宋体" w:hAnsi="宋体"/>
                <w:sz w:val="28"/>
                <w:szCs w:val="22"/>
              </w:rPr>
              <w:t>投标有效期：投标截止日期下午13:30。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7</w:t>
            </w:r>
          </w:p>
        </w:tc>
        <w:tc>
          <w:tcPr>
            <w:tcW w:w="1138" w:type="dxa"/>
          </w:tcPr>
          <w:p>
            <w:pPr>
              <w:spacing w:line="360" w:lineRule="auto"/>
              <w:jc w:val="center"/>
              <w:rPr>
                <w:rFonts w:ascii="宋体" w:hAnsi="宋体"/>
                <w:sz w:val="28"/>
                <w:szCs w:val="22"/>
              </w:rPr>
            </w:pPr>
            <w:r>
              <w:rPr>
                <w:rFonts w:hint="eastAsia" w:ascii="宋体" w:hAnsi="宋体"/>
                <w:sz w:val="28"/>
                <w:szCs w:val="22"/>
              </w:rPr>
              <w:t>7.1</w:t>
            </w:r>
          </w:p>
        </w:tc>
        <w:tc>
          <w:tcPr>
            <w:tcW w:w="7442" w:type="dxa"/>
          </w:tcPr>
          <w:p>
            <w:pPr>
              <w:spacing w:line="360" w:lineRule="auto"/>
              <w:rPr>
                <w:rFonts w:ascii="宋体" w:hAnsi="宋体"/>
                <w:sz w:val="28"/>
                <w:szCs w:val="22"/>
                <w:u w:val="single"/>
              </w:rPr>
            </w:pPr>
            <w:r>
              <w:rPr>
                <w:rFonts w:hint="eastAsia" w:ascii="宋体" w:hAnsi="宋体"/>
                <w:sz w:val="28"/>
                <w:szCs w:val="22"/>
              </w:rPr>
              <w:t>投标文件正本 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8</w:t>
            </w:r>
          </w:p>
        </w:tc>
        <w:tc>
          <w:tcPr>
            <w:tcW w:w="1138" w:type="dxa"/>
          </w:tcPr>
          <w:p>
            <w:pPr>
              <w:spacing w:line="360" w:lineRule="auto"/>
              <w:jc w:val="center"/>
              <w:rPr>
                <w:rFonts w:ascii="宋体" w:hAnsi="宋体"/>
                <w:sz w:val="28"/>
                <w:szCs w:val="22"/>
              </w:rPr>
            </w:pPr>
            <w:r>
              <w:rPr>
                <w:rFonts w:hint="eastAsia" w:ascii="宋体" w:hAnsi="宋体"/>
                <w:sz w:val="28"/>
                <w:szCs w:val="22"/>
              </w:rPr>
              <w:t>8</w:t>
            </w:r>
            <w:r>
              <w:rPr>
                <w:rFonts w:ascii="宋体" w:hAnsi="宋体"/>
                <w:sz w:val="28"/>
                <w:szCs w:val="22"/>
              </w:rPr>
              <w:t>.1</w:t>
            </w:r>
          </w:p>
        </w:tc>
        <w:tc>
          <w:tcPr>
            <w:tcW w:w="7442" w:type="dxa"/>
          </w:tcPr>
          <w:p>
            <w:pPr>
              <w:pStyle w:val="5"/>
              <w:spacing w:line="360" w:lineRule="auto"/>
              <w:rPr>
                <w:rFonts w:ascii="宋体" w:hAnsi="宋体"/>
                <w:sz w:val="28"/>
                <w:szCs w:val="22"/>
                <w:u w:val="single"/>
              </w:rPr>
            </w:pPr>
            <w:r>
              <w:rPr>
                <w:rFonts w:hint="eastAsia" w:ascii="宋体" w:hAnsi="宋体"/>
                <w:sz w:val="28"/>
                <w:szCs w:val="22"/>
              </w:rPr>
              <w:t>投标书递交：投标文件请于投标截止时间前送至开标地点。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9</w:t>
            </w:r>
          </w:p>
        </w:tc>
        <w:tc>
          <w:tcPr>
            <w:tcW w:w="1138" w:type="dxa"/>
          </w:tcPr>
          <w:p>
            <w:pPr>
              <w:spacing w:line="360" w:lineRule="auto"/>
              <w:jc w:val="center"/>
              <w:rPr>
                <w:rFonts w:ascii="宋体" w:hAnsi="宋体"/>
                <w:sz w:val="28"/>
                <w:szCs w:val="22"/>
              </w:rPr>
            </w:pPr>
            <w:r>
              <w:rPr>
                <w:rFonts w:hint="eastAsia" w:ascii="宋体" w:hAnsi="宋体"/>
                <w:sz w:val="28"/>
                <w:szCs w:val="22"/>
              </w:rPr>
              <w:t>9.1</w:t>
            </w:r>
          </w:p>
        </w:tc>
        <w:tc>
          <w:tcPr>
            <w:tcW w:w="7442" w:type="dxa"/>
          </w:tcPr>
          <w:p>
            <w:pPr>
              <w:spacing w:line="360" w:lineRule="auto"/>
              <w:rPr>
                <w:rFonts w:ascii="宋体" w:hAnsi="宋体"/>
                <w:sz w:val="28"/>
                <w:szCs w:val="22"/>
              </w:rPr>
            </w:pPr>
            <w:r>
              <w:rPr>
                <w:rFonts w:hint="eastAsia" w:ascii="宋体" w:hAnsi="宋体"/>
                <w:sz w:val="28"/>
                <w:szCs w:val="22"/>
              </w:rPr>
              <w:t>投标人应将</w:t>
            </w:r>
            <w:r>
              <w:rPr>
                <w:rFonts w:hint="eastAsia" w:ascii="宋体" w:hAnsi="宋体"/>
                <w:b/>
                <w:sz w:val="28"/>
                <w:szCs w:val="22"/>
              </w:rPr>
              <w:t>“投标报价表”</w:t>
            </w:r>
            <w:r>
              <w:rPr>
                <w:rFonts w:hint="eastAsia" w:ascii="宋体" w:hAnsi="宋体"/>
                <w:sz w:val="28"/>
                <w:szCs w:val="22"/>
              </w:rPr>
              <w:t>密封，并标明</w:t>
            </w:r>
            <w:r>
              <w:rPr>
                <w:rFonts w:hint="eastAsia" w:ascii="宋体" w:hAnsi="宋体"/>
                <w:b/>
                <w:sz w:val="28"/>
                <w:szCs w:val="22"/>
              </w:rPr>
              <w:t>“开标报价信”</w:t>
            </w:r>
            <w:r>
              <w:rPr>
                <w:rFonts w:hint="eastAsia" w:ascii="宋体" w:hAnsi="宋体"/>
                <w:sz w:val="28"/>
                <w:szCs w:val="22"/>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10</w:t>
            </w:r>
          </w:p>
        </w:tc>
        <w:tc>
          <w:tcPr>
            <w:tcW w:w="1138" w:type="dxa"/>
          </w:tcPr>
          <w:p>
            <w:pPr>
              <w:spacing w:line="360" w:lineRule="auto"/>
              <w:jc w:val="center"/>
              <w:rPr>
                <w:rFonts w:ascii="宋体" w:hAnsi="宋体"/>
                <w:sz w:val="28"/>
                <w:szCs w:val="22"/>
              </w:rPr>
            </w:pPr>
            <w:r>
              <w:rPr>
                <w:rFonts w:hint="eastAsia" w:ascii="宋体" w:hAnsi="宋体"/>
                <w:sz w:val="28"/>
                <w:szCs w:val="22"/>
              </w:rPr>
              <w:t>10.1</w:t>
            </w:r>
          </w:p>
          <w:p>
            <w:pPr>
              <w:spacing w:line="360" w:lineRule="auto"/>
              <w:jc w:val="center"/>
              <w:rPr>
                <w:rFonts w:ascii="宋体" w:hAnsi="宋体"/>
                <w:sz w:val="28"/>
                <w:szCs w:val="22"/>
              </w:rPr>
            </w:pPr>
          </w:p>
          <w:p>
            <w:pPr>
              <w:spacing w:line="360" w:lineRule="auto"/>
              <w:jc w:val="center"/>
              <w:rPr>
                <w:rFonts w:ascii="宋体" w:hAnsi="宋体"/>
                <w:sz w:val="28"/>
                <w:szCs w:val="22"/>
              </w:rPr>
            </w:pPr>
            <w:r>
              <w:rPr>
                <w:rFonts w:hint="eastAsia" w:ascii="宋体" w:hAnsi="宋体"/>
                <w:sz w:val="28"/>
                <w:szCs w:val="22"/>
              </w:rPr>
              <w:t>10.2</w:t>
            </w:r>
          </w:p>
        </w:tc>
        <w:tc>
          <w:tcPr>
            <w:tcW w:w="7442" w:type="dxa"/>
          </w:tcPr>
          <w:p>
            <w:pPr>
              <w:spacing w:line="360" w:lineRule="auto"/>
              <w:rPr>
                <w:rFonts w:ascii="宋体" w:hAnsi="宋体"/>
                <w:sz w:val="28"/>
                <w:szCs w:val="22"/>
              </w:rPr>
            </w:pPr>
            <w:r>
              <w:rPr>
                <w:rFonts w:hint="eastAsia" w:ascii="宋体" w:hAnsi="宋体"/>
                <w:sz w:val="28"/>
                <w:szCs w:val="22"/>
              </w:rPr>
              <w:t>开标时间：</w:t>
            </w:r>
            <w:r>
              <w:rPr>
                <w:rFonts w:hint="eastAsia" w:ascii="宋体" w:hAnsi="宋体"/>
                <w:sz w:val="28"/>
                <w:szCs w:val="22"/>
                <w:u w:val="single"/>
              </w:rPr>
              <w:t xml:space="preserve">  2017 </w:t>
            </w:r>
            <w:r>
              <w:rPr>
                <w:rFonts w:hint="eastAsia" w:ascii="宋体" w:hAnsi="宋体"/>
                <w:sz w:val="28"/>
                <w:szCs w:val="22"/>
              </w:rPr>
              <w:t>年</w:t>
            </w:r>
            <w:r>
              <w:rPr>
                <w:rFonts w:hint="eastAsia" w:ascii="宋体" w:hAnsi="宋体"/>
                <w:sz w:val="28"/>
                <w:szCs w:val="22"/>
                <w:u w:val="single"/>
              </w:rPr>
              <w:t>8</w:t>
            </w:r>
            <w:r>
              <w:rPr>
                <w:rFonts w:hint="eastAsia" w:ascii="宋体" w:hAnsi="宋体"/>
                <w:sz w:val="28"/>
                <w:szCs w:val="22"/>
              </w:rPr>
              <w:t>月</w:t>
            </w:r>
            <w:r>
              <w:rPr>
                <w:rFonts w:hint="eastAsia" w:ascii="宋体" w:hAnsi="宋体"/>
                <w:sz w:val="28"/>
                <w:szCs w:val="22"/>
                <w:u w:val="single"/>
              </w:rPr>
              <w:t>17</w:t>
            </w:r>
            <w:r>
              <w:rPr>
                <w:rFonts w:hint="eastAsia" w:ascii="宋体" w:hAnsi="宋体"/>
                <w:sz w:val="28"/>
                <w:szCs w:val="22"/>
              </w:rPr>
              <w:t>日  下午15：30时（北京时间）。</w:t>
            </w:r>
          </w:p>
          <w:p>
            <w:pPr>
              <w:spacing w:line="360" w:lineRule="auto"/>
              <w:rPr>
                <w:rFonts w:ascii="宋体" w:hAnsi="宋体"/>
                <w:sz w:val="28"/>
                <w:szCs w:val="22"/>
              </w:rPr>
            </w:pPr>
            <w:r>
              <w:rPr>
                <w:rFonts w:hint="eastAsia" w:ascii="宋体" w:hAnsi="宋体"/>
                <w:sz w:val="28"/>
                <w:szCs w:val="22"/>
              </w:rPr>
              <w:t>评标小组成员：采购部  财务部  风控部</w:t>
            </w:r>
          </w:p>
          <w:p>
            <w:pPr>
              <w:spacing w:line="360" w:lineRule="auto"/>
              <w:rPr>
                <w:rFonts w:ascii="宋体" w:hAnsi="宋体"/>
                <w:sz w:val="28"/>
                <w:szCs w:val="22"/>
                <w:u w:val="single"/>
              </w:rPr>
            </w:pPr>
            <w:r>
              <w:rPr>
                <w:rFonts w:hint="eastAsia" w:ascii="宋体" w:hAnsi="宋体"/>
                <w:sz w:val="28"/>
                <w:szCs w:val="22"/>
              </w:rPr>
              <w:t>开标地点：中节能太阳能科技（镇江）有限公司综合楼104室。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11" w:type="dxa"/>
          </w:tcPr>
          <w:p>
            <w:pPr>
              <w:spacing w:line="360" w:lineRule="auto"/>
              <w:jc w:val="center"/>
              <w:rPr>
                <w:rFonts w:ascii="宋体" w:hAnsi="宋体"/>
                <w:color w:val="FF0000"/>
                <w:sz w:val="28"/>
                <w:szCs w:val="22"/>
              </w:rPr>
            </w:pPr>
            <w:r>
              <w:rPr>
                <w:rFonts w:hint="eastAsia" w:ascii="宋体" w:hAnsi="宋体"/>
                <w:color w:val="FF0000"/>
                <w:sz w:val="28"/>
                <w:szCs w:val="22"/>
              </w:rPr>
              <w:t>11</w:t>
            </w:r>
          </w:p>
        </w:tc>
        <w:tc>
          <w:tcPr>
            <w:tcW w:w="1138" w:type="dxa"/>
          </w:tcPr>
          <w:p>
            <w:pPr>
              <w:spacing w:line="360" w:lineRule="auto"/>
              <w:jc w:val="center"/>
              <w:rPr>
                <w:rFonts w:ascii="宋体" w:hAnsi="宋体"/>
                <w:color w:val="FF0000"/>
                <w:sz w:val="28"/>
                <w:szCs w:val="22"/>
              </w:rPr>
            </w:pPr>
            <w:r>
              <w:rPr>
                <w:rFonts w:hint="eastAsia" w:ascii="宋体" w:hAnsi="宋体"/>
                <w:color w:val="FF0000"/>
                <w:sz w:val="28"/>
                <w:szCs w:val="22"/>
              </w:rPr>
              <w:t>11.1</w:t>
            </w:r>
          </w:p>
        </w:tc>
        <w:tc>
          <w:tcPr>
            <w:tcW w:w="7442" w:type="dxa"/>
          </w:tcPr>
          <w:p>
            <w:pPr>
              <w:snapToGrid w:val="0"/>
              <w:spacing w:beforeLines="20" w:line="360" w:lineRule="auto"/>
              <w:jc w:val="left"/>
              <w:rPr>
                <w:rFonts w:ascii="宋体" w:hAnsi="宋体"/>
                <w:color w:val="FF0000"/>
                <w:sz w:val="28"/>
                <w:szCs w:val="22"/>
              </w:rPr>
            </w:pPr>
            <w:r>
              <w:rPr>
                <w:rFonts w:hint="eastAsia" w:ascii="宋体" w:hAnsi="宋体"/>
                <w:color w:val="FF0000"/>
                <w:sz w:val="28"/>
                <w:szCs w:val="22"/>
              </w:rPr>
              <w:t>付款方式：根据招标结果的付款方式付款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11" w:type="dxa"/>
          </w:tcPr>
          <w:p>
            <w:pPr>
              <w:jc w:val="center"/>
              <w:rPr>
                <w:rFonts w:ascii="宋体" w:hAnsi="宋体"/>
                <w:sz w:val="28"/>
                <w:szCs w:val="22"/>
              </w:rPr>
            </w:pPr>
            <w:r>
              <w:rPr>
                <w:rFonts w:hint="eastAsia" w:ascii="宋体" w:hAnsi="宋体"/>
                <w:sz w:val="28"/>
                <w:szCs w:val="22"/>
              </w:rPr>
              <w:t>12</w:t>
            </w:r>
          </w:p>
        </w:tc>
        <w:tc>
          <w:tcPr>
            <w:tcW w:w="1138" w:type="dxa"/>
          </w:tcPr>
          <w:p>
            <w:pPr>
              <w:jc w:val="center"/>
              <w:rPr>
                <w:rFonts w:ascii="宋体" w:hAnsi="宋体"/>
                <w:sz w:val="28"/>
                <w:szCs w:val="22"/>
              </w:rPr>
            </w:pPr>
            <w:r>
              <w:rPr>
                <w:rFonts w:hint="eastAsia" w:ascii="宋体" w:hAnsi="宋体"/>
                <w:sz w:val="28"/>
                <w:szCs w:val="22"/>
              </w:rPr>
              <w:t>12.1</w:t>
            </w:r>
          </w:p>
        </w:tc>
        <w:tc>
          <w:tcPr>
            <w:tcW w:w="7442" w:type="dxa"/>
          </w:tcPr>
          <w:p>
            <w:pPr>
              <w:rPr>
                <w:rFonts w:ascii="宋体" w:hAnsi="宋体"/>
                <w:sz w:val="28"/>
                <w:szCs w:val="22"/>
                <w:u w:val="single"/>
              </w:rPr>
            </w:pPr>
            <w:r>
              <w:rPr>
                <w:rFonts w:hint="eastAsia" w:ascii="宋体" w:hAnsi="宋体"/>
                <w:sz w:val="28"/>
                <w:szCs w:val="22"/>
              </w:rPr>
              <w:t>评标办法：综合评估法。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11" w:type="dxa"/>
          </w:tcPr>
          <w:p>
            <w:pPr>
              <w:jc w:val="center"/>
              <w:rPr>
                <w:rFonts w:ascii="宋体" w:hAnsi="宋体"/>
                <w:sz w:val="28"/>
                <w:szCs w:val="22"/>
              </w:rPr>
            </w:pPr>
            <w:r>
              <w:rPr>
                <w:rFonts w:hint="eastAsia" w:ascii="宋体" w:hAnsi="宋体"/>
                <w:sz w:val="28"/>
                <w:szCs w:val="22"/>
              </w:rPr>
              <w:t>13</w:t>
            </w:r>
          </w:p>
        </w:tc>
        <w:tc>
          <w:tcPr>
            <w:tcW w:w="1138" w:type="dxa"/>
          </w:tcPr>
          <w:p>
            <w:pPr>
              <w:jc w:val="center"/>
              <w:rPr>
                <w:rFonts w:ascii="宋体" w:hAnsi="宋体"/>
                <w:sz w:val="28"/>
                <w:szCs w:val="22"/>
              </w:rPr>
            </w:pPr>
            <w:r>
              <w:rPr>
                <w:rFonts w:hint="eastAsia" w:ascii="宋体" w:hAnsi="宋体"/>
                <w:sz w:val="28"/>
                <w:szCs w:val="22"/>
              </w:rPr>
              <w:t>13.1</w:t>
            </w:r>
          </w:p>
        </w:tc>
        <w:tc>
          <w:tcPr>
            <w:tcW w:w="7442" w:type="dxa"/>
          </w:tcPr>
          <w:p>
            <w:pPr>
              <w:rPr>
                <w:rFonts w:ascii="宋体" w:hAnsi="宋体"/>
                <w:sz w:val="28"/>
                <w:szCs w:val="22"/>
              </w:rPr>
            </w:pPr>
            <w:r>
              <w:rPr>
                <w:rFonts w:hint="eastAsia" w:ascii="宋体" w:hAnsi="宋体"/>
                <w:sz w:val="28"/>
                <w:szCs w:val="22"/>
              </w:rPr>
              <w:t>1、</w:t>
            </w:r>
            <w:r>
              <w:rPr>
                <w:rFonts w:ascii="宋体" w:hAnsi="宋体"/>
                <w:color w:val="FF0000"/>
                <w:sz w:val="28"/>
                <w:szCs w:val="22"/>
              </w:rPr>
              <w:t>本次报价为一次性</w:t>
            </w:r>
            <w:r>
              <w:rPr>
                <w:rFonts w:hint="eastAsia" w:ascii="宋体" w:hAnsi="宋体"/>
                <w:color w:val="FF0000"/>
                <w:sz w:val="28"/>
                <w:szCs w:val="22"/>
              </w:rPr>
              <w:t>密封</w:t>
            </w:r>
            <w:r>
              <w:rPr>
                <w:rFonts w:ascii="宋体" w:hAnsi="宋体"/>
                <w:color w:val="FF0000"/>
                <w:sz w:val="28"/>
                <w:szCs w:val="22"/>
              </w:rPr>
              <w:t>报价</w:t>
            </w:r>
            <w:r>
              <w:rPr>
                <w:rFonts w:ascii="宋体" w:hAnsi="宋体"/>
                <w:sz w:val="28"/>
                <w:szCs w:val="22"/>
              </w:rPr>
              <w:t>，报价币种为人民币。报价须包含人工费、设备费、装卸费、管理费、利润、税金等一切费用。中标后不允许擅自改变服务内容、质量标准、期限与追加项目预算。</w:t>
            </w:r>
          </w:p>
          <w:p>
            <w:pPr>
              <w:rPr>
                <w:rFonts w:ascii="宋体" w:hAnsi="宋体"/>
                <w:sz w:val="28"/>
                <w:szCs w:val="22"/>
              </w:rPr>
            </w:pPr>
            <w:r>
              <w:rPr>
                <w:rFonts w:ascii="宋体" w:hAnsi="宋体"/>
                <w:sz w:val="28"/>
                <w:szCs w:val="22"/>
              </w:rPr>
              <w:t>2、投标文件须逐页加盖公章。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11" w:type="dxa"/>
          </w:tcPr>
          <w:p>
            <w:pPr>
              <w:spacing w:line="360" w:lineRule="auto"/>
              <w:jc w:val="center"/>
              <w:rPr>
                <w:rFonts w:ascii="宋体" w:hAnsi="宋体"/>
                <w:sz w:val="28"/>
                <w:szCs w:val="22"/>
              </w:rPr>
            </w:pPr>
            <w:r>
              <w:rPr>
                <w:rFonts w:hint="eastAsia" w:ascii="宋体" w:hAnsi="宋体"/>
                <w:sz w:val="28"/>
                <w:szCs w:val="22"/>
              </w:rPr>
              <w:t>14</w:t>
            </w:r>
          </w:p>
        </w:tc>
        <w:tc>
          <w:tcPr>
            <w:tcW w:w="1138" w:type="dxa"/>
          </w:tcPr>
          <w:p>
            <w:pPr>
              <w:spacing w:line="360" w:lineRule="auto"/>
              <w:jc w:val="center"/>
              <w:rPr>
                <w:rFonts w:ascii="宋体" w:hAnsi="宋体"/>
                <w:sz w:val="28"/>
                <w:szCs w:val="22"/>
              </w:rPr>
            </w:pPr>
            <w:r>
              <w:rPr>
                <w:rFonts w:hint="eastAsia" w:ascii="宋体" w:hAnsi="宋体"/>
                <w:sz w:val="28"/>
                <w:szCs w:val="22"/>
              </w:rPr>
              <w:t>14.1</w:t>
            </w:r>
          </w:p>
          <w:p>
            <w:pPr>
              <w:spacing w:line="360" w:lineRule="auto"/>
              <w:jc w:val="center"/>
              <w:rPr>
                <w:rFonts w:ascii="宋体" w:hAnsi="宋体"/>
                <w:sz w:val="28"/>
                <w:szCs w:val="22"/>
              </w:rPr>
            </w:pPr>
            <w:r>
              <w:rPr>
                <w:rFonts w:hint="eastAsia" w:ascii="宋体" w:hAnsi="宋体"/>
                <w:sz w:val="28"/>
                <w:szCs w:val="22"/>
              </w:rPr>
              <w:t>14.2</w:t>
            </w:r>
          </w:p>
          <w:p>
            <w:pPr>
              <w:spacing w:line="360" w:lineRule="auto"/>
              <w:jc w:val="center"/>
              <w:rPr>
                <w:rFonts w:ascii="宋体" w:hAnsi="宋体"/>
                <w:sz w:val="28"/>
                <w:szCs w:val="22"/>
              </w:rPr>
            </w:pPr>
            <w:r>
              <w:rPr>
                <w:rFonts w:hint="eastAsia" w:ascii="宋体" w:hAnsi="宋体"/>
                <w:sz w:val="28"/>
                <w:szCs w:val="22"/>
              </w:rPr>
              <w:t>14.3</w:t>
            </w:r>
          </w:p>
          <w:p>
            <w:pPr>
              <w:spacing w:line="360" w:lineRule="auto"/>
              <w:jc w:val="center"/>
              <w:rPr>
                <w:rFonts w:ascii="宋体" w:hAnsi="宋体"/>
                <w:sz w:val="28"/>
                <w:szCs w:val="22"/>
              </w:rPr>
            </w:pPr>
            <w:r>
              <w:rPr>
                <w:rFonts w:hint="eastAsia" w:ascii="宋体" w:hAnsi="宋体"/>
                <w:sz w:val="28"/>
                <w:szCs w:val="22"/>
              </w:rPr>
              <w:t>14.4</w:t>
            </w:r>
          </w:p>
          <w:p>
            <w:pPr>
              <w:spacing w:line="360" w:lineRule="auto"/>
              <w:jc w:val="center"/>
              <w:rPr>
                <w:rFonts w:ascii="宋体" w:hAnsi="宋体"/>
                <w:sz w:val="28"/>
                <w:szCs w:val="22"/>
              </w:rPr>
            </w:pPr>
            <w:r>
              <w:rPr>
                <w:rFonts w:hint="eastAsia" w:ascii="宋体" w:hAnsi="宋体"/>
                <w:sz w:val="28"/>
                <w:szCs w:val="22"/>
              </w:rPr>
              <w:t>14.5</w:t>
            </w:r>
          </w:p>
          <w:p>
            <w:pPr>
              <w:spacing w:line="360" w:lineRule="auto"/>
              <w:jc w:val="center"/>
              <w:rPr>
                <w:rFonts w:ascii="宋体" w:hAnsi="宋体"/>
                <w:sz w:val="28"/>
                <w:szCs w:val="22"/>
              </w:rPr>
            </w:pPr>
            <w:r>
              <w:rPr>
                <w:rFonts w:hint="eastAsia" w:ascii="宋体" w:hAnsi="宋体"/>
                <w:sz w:val="28"/>
                <w:szCs w:val="22"/>
              </w:rPr>
              <w:t>14.6</w:t>
            </w:r>
          </w:p>
          <w:p>
            <w:pPr>
              <w:spacing w:line="360" w:lineRule="auto"/>
              <w:jc w:val="center"/>
              <w:rPr>
                <w:rFonts w:ascii="宋体" w:hAnsi="宋体"/>
                <w:sz w:val="28"/>
                <w:szCs w:val="22"/>
              </w:rPr>
            </w:pPr>
            <w:r>
              <w:rPr>
                <w:rFonts w:hint="eastAsia" w:ascii="宋体" w:hAnsi="宋体"/>
                <w:sz w:val="28"/>
                <w:szCs w:val="22"/>
              </w:rPr>
              <w:t>14.7</w:t>
            </w:r>
          </w:p>
        </w:tc>
        <w:tc>
          <w:tcPr>
            <w:tcW w:w="7442" w:type="dxa"/>
          </w:tcPr>
          <w:p>
            <w:pPr>
              <w:spacing w:line="360" w:lineRule="auto"/>
              <w:rPr>
                <w:rFonts w:ascii="宋体" w:hAnsi="宋体"/>
                <w:sz w:val="28"/>
                <w:szCs w:val="22"/>
              </w:rPr>
            </w:pPr>
            <w:r>
              <w:rPr>
                <w:rFonts w:hint="eastAsia" w:ascii="宋体" w:hAnsi="宋体"/>
                <w:sz w:val="28"/>
                <w:szCs w:val="22"/>
              </w:rPr>
              <w:t>招标人名称：中节能太阳能科技（镇江）有限公司。</w:t>
            </w:r>
          </w:p>
          <w:p>
            <w:pPr>
              <w:spacing w:line="360" w:lineRule="auto"/>
              <w:rPr>
                <w:rFonts w:ascii="宋体" w:hAnsi="宋体"/>
                <w:sz w:val="28"/>
                <w:szCs w:val="22"/>
              </w:rPr>
            </w:pPr>
            <w:r>
              <w:rPr>
                <w:rFonts w:hint="eastAsia" w:ascii="宋体" w:hAnsi="宋体"/>
                <w:sz w:val="28"/>
                <w:szCs w:val="22"/>
              </w:rPr>
              <w:t>招标人地址：镇江新区北山路9号。</w:t>
            </w:r>
          </w:p>
          <w:p>
            <w:pPr>
              <w:pStyle w:val="5"/>
              <w:spacing w:line="360" w:lineRule="auto"/>
              <w:rPr>
                <w:rFonts w:ascii="Calibri" w:hAnsi="Calibri"/>
                <w:sz w:val="28"/>
                <w:szCs w:val="22"/>
              </w:rPr>
            </w:pPr>
            <w:r>
              <w:rPr>
                <w:rFonts w:hint="eastAsia" w:ascii="Calibri" w:hAnsi="Calibri"/>
                <w:sz w:val="28"/>
                <w:szCs w:val="22"/>
              </w:rPr>
              <w:t>邮编：212132</w:t>
            </w:r>
          </w:p>
          <w:p>
            <w:pPr>
              <w:pStyle w:val="5"/>
              <w:spacing w:line="360" w:lineRule="auto"/>
              <w:rPr>
                <w:rFonts w:ascii="Calibri" w:hAnsi="Calibri"/>
                <w:sz w:val="28"/>
                <w:szCs w:val="22"/>
              </w:rPr>
            </w:pPr>
            <w:r>
              <w:rPr>
                <w:rFonts w:hint="eastAsia" w:ascii="Calibri" w:hAnsi="Calibri"/>
                <w:sz w:val="28"/>
                <w:szCs w:val="22"/>
              </w:rPr>
              <w:t>电话：0511-85580833</w:t>
            </w:r>
          </w:p>
          <w:p>
            <w:pPr>
              <w:pStyle w:val="5"/>
              <w:spacing w:line="360" w:lineRule="auto"/>
              <w:rPr>
                <w:rFonts w:ascii="Calibri" w:hAnsi="Calibri"/>
                <w:sz w:val="28"/>
                <w:szCs w:val="22"/>
              </w:rPr>
            </w:pPr>
            <w:r>
              <w:rPr>
                <w:rFonts w:hint="eastAsia" w:ascii="Calibri" w:hAnsi="Calibri"/>
                <w:sz w:val="28"/>
                <w:szCs w:val="22"/>
              </w:rPr>
              <w:t>传真：0511-85597749</w:t>
            </w:r>
          </w:p>
          <w:p>
            <w:pPr>
              <w:pStyle w:val="5"/>
              <w:spacing w:line="360" w:lineRule="auto"/>
              <w:rPr>
                <w:rFonts w:ascii="Calibri" w:hAnsi="Calibri"/>
                <w:sz w:val="28"/>
                <w:szCs w:val="22"/>
              </w:rPr>
            </w:pPr>
            <w:r>
              <w:rPr>
                <w:rFonts w:hint="eastAsia" w:ascii="Calibri" w:hAnsi="Calibri"/>
                <w:sz w:val="28"/>
                <w:szCs w:val="22"/>
              </w:rPr>
              <w:t>联系人：齐力</w:t>
            </w:r>
          </w:p>
          <w:p>
            <w:pPr>
              <w:pStyle w:val="5"/>
              <w:spacing w:line="360" w:lineRule="auto"/>
              <w:rPr>
                <w:rFonts w:ascii="Calibri" w:hAnsi="Calibri"/>
                <w:sz w:val="28"/>
                <w:szCs w:val="22"/>
              </w:rPr>
            </w:pPr>
            <w:r>
              <w:rPr>
                <w:rFonts w:hint="eastAsia" w:ascii="Calibri" w:hAnsi="Calibri"/>
                <w:sz w:val="28"/>
                <w:szCs w:val="22"/>
              </w:rPr>
              <w:t>日期：2017年8月9日</w:t>
            </w:r>
          </w:p>
        </w:tc>
      </w:tr>
    </w:tbl>
    <w:p>
      <w:pPr>
        <w:rPr>
          <w:rFonts w:ascii="黑体" w:hAnsi="黑体" w:eastAsia="黑体"/>
          <w:sz w:val="28"/>
        </w:rPr>
      </w:pPr>
    </w:p>
    <w:p>
      <w:pPr>
        <w:rPr>
          <w:rFonts w:ascii="黑体" w:hAnsi="黑体" w:eastAsia="黑体"/>
          <w:sz w:val="28"/>
        </w:rPr>
      </w:pPr>
    </w:p>
    <w:p>
      <w:pPr>
        <w:numPr>
          <w:ilvl w:val="0"/>
          <w:numId w:val="1"/>
        </w:numPr>
        <w:rPr>
          <w:rFonts w:ascii="黑体" w:hAnsi="黑体" w:eastAsia="黑体"/>
          <w:sz w:val="28"/>
        </w:rPr>
      </w:pPr>
      <w:r>
        <w:rPr>
          <w:rFonts w:hint="eastAsia" w:ascii="黑体" w:hAnsi="黑体" w:eastAsia="黑体"/>
          <w:sz w:val="28"/>
        </w:rPr>
        <w:t>招标产品规格</w:t>
      </w:r>
    </w:p>
    <w:tbl>
      <w:tblPr>
        <w:tblStyle w:val="13"/>
        <w:tblpPr w:leftFromText="180" w:rightFromText="180" w:vertAnchor="text" w:horzAnchor="page" w:tblpX="1522" w:tblpY="390"/>
        <w:tblOverlap w:val="never"/>
        <w:tblW w:w="9747" w:type="dxa"/>
        <w:tblInd w:w="0" w:type="dxa"/>
        <w:tblLayout w:type="fixed"/>
        <w:tblCellMar>
          <w:top w:w="0" w:type="dxa"/>
          <w:left w:w="108" w:type="dxa"/>
          <w:bottom w:w="0" w:type="dxa"/>
          <w:right w:w="108" w:type="dxa"/>
        </w:tblCellMar>
      </w:tblPr>
      <w:tblGrid>
        <w:gridCol w:w="1165"/>
        <w:gridCol w:w="2487"/>
        <w:gridCol w:w="1559"/>
        <w:gridCol w:w="1985"/>
        <w:gridCol w:w="2551"/>
      </w:tblGrid>
      <w:tr>
        <w:tblPrEx>
          <w:tblLayout w:type="fixed"/>
          <w:tblCellMar>
            <w:top w:w="0" w:type="dxa"/>
            <w:left w:w="108" w:type="dxa"/>
            <w:bottom w:w="0" w:type="dxa"/>
            <w:right w:w="108" w:type="dxa"/>
          </w:tblCellMar>
        </w:tblPrEx>
        <w:trPr>
          <w:trHeight w:val="457"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货物名称</w:t>
            </w:r>
          </w:p>
        </w:tc>
        <w:tc>
          <w:tcPr>
            <w:tcW w:w="248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规格</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数量（KG）</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总金额（元）</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备注</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废铁</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报废含铁物资</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废铁块、废钢等</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废铁皮</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报废含铁物资</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废纸</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生产丢弃的废纸</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含废纸箱、废纸等其他纸制品</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塑料</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生产丢弃的塑料</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白色塑料</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杂塑料</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生产丢弃的杂塑料</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含杂质或添加物杂塑料</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泡沫海绵</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生产丢弃的泡沫</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大托盘</w:t>
            </w:r>
          </w:p>
          <w:p>
            <w:pPr>
              <w:widowControl/>
              <w:shd w:val="clear" w:color="auto" w:fill="FFFFFF"/>
              <w:jc w:val="center"/>
              <w:rPr>
                <w:kern w:val="0"/>
                <w:szCs w:val="21"/>
              </w:rPr>
            </w:pPr>
            <w:r>
              <w:rPr>
                <w:rFonts w:hint="eastAsia"/>
                <w:kern w:val="0"/>
                <w:szCs w:val="21"/>
              </w:rPr>
              <w:t>（实木）</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&gt;=1.6m*1m*0.12m托盘</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大托盘</w:t>
            </w:r>
          </w:p>
          <w:p>
            <w:pPr>
              <w:widowControl/>
              <w:shd w:val="clear" w:color="auto" w:fill="FFFFFF"/>
              <w:jc w:val="center"/>
              <w:rPr>
                <w:kern w:val="0"/>
                <w:szCs w:val="21"/>
              </w:rPr>
            </w:pPr>
            <w:r>
              <w:rPr>
                <w:rFonts w:hint="eastAsia"/>
                <w:kern w:val="0"/>
                <w:szCs w:val="21"/>
              </w:rPr>
              <w:t>（多层板）</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&gt;=1.6m*1m*0.12m托盘</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小托盘</w:t>
            </w:r>
          </w:p>
          <w:p>
            <w:pPr>
              <w:widowControl/>
              <w:shd w:val="clear" w:color="auto" w:fill="FFFFFF"/>
              <w:jc w:val="center"/>
              <w:rPr>
                <w:kern w:val="0"/>
                <w:szCs w:val="21"/>
              </w:rPr>
            </w:pPr>
            <w:r>
              <w:rPr>
                <w:rFonts w:hint="eastAsia"/>
                <w:kern w:val="0"/>
                <w:szCs w:val="21"/>
              </w:rPr>
              <w:t>（实木）</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&gt;=1.02m*0.86m*0.12 &lt;1.6m*1m*0.12m</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小托盘</w:t>
            </w:r>
          </w:p>
          <w:p>
            <w:pPr>
              <w:widowControl/>
              <w:shd w:val="clear" w:color="auto" w:fill="FFFFFF"/>
              <w:jc w:val="center"/>
              <w:rPr>
                <w:kern w:val="0"/>
                <w:szCs w:val="21"/>
              </w:rPr>
            </w:pPr>
            <w:r>
              <w:rPr>
                <w:rFonts w:hint="eastAsia"/>
                <w:kern w:val="0"/>
                <w:szCs w:val="21"/>
              </w:rPr>
              <w:t>（多层板）</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&gt;=1.02m*0.86m*0.12 &lt;1.6m*1m*0.12m</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废木材</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除以上木质托盘外的废旧木材</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255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bl>
    <w:p>
      <w:pPr>
        <w:jc w:val="center"/>
        <w:rPr>
          <w:sz w:val="28"/>
        </w:rPr>
      </w:pPr>
    </w:p>
    <w:p>
      <w:pPr>
        <w:jc w:val="center"/>
        <w:rPr>
          <w:sz w:val="28"/>
        </w:rPr>
      </w:pPr>
      <w:r>
        <w:rPr>
          <w:rFonts w:hint="eastAsia"/>
          <w:sz w:val="28"/>
        </w:rPr>
        <w:t xml:space="preserve">                     中节能太阳能科技（镇江）有限公司采购部</w:t>
      </w:r>
      <w:r>
        <w:rPr>
          <w:sz w:val="28"/>
        </w:rPr>
        <w:br w:type="textWrapping"/>
      </w:r>
      <w:r>
        <w:rPr>
          <w:rFonts w:hint="eastAsia"/>
          <w:sz w:val="28"/>
        </w:rPr>
        <w:t xml:space="preserve">                          2017年8月</w:t>
      </w:r>
      <w:r>
        <w:rPr>
          <w:rFonts w:hint="eastAsia"/>
          <w:sz w:val="28"/>
          <w:lang w:val="en-US" w:eastAsia="zh-CN"/>
        </w:rPr>
        <w:t>10</w:t>
      </w:r>
      <w:bookmarkStart w:id="0" w:name="_GoBack"/>
      <w:bookmarkEnd w:id="0"/>
      <w:r>
        <w:rPr>
          <w:rFonts w:hint="eastAsia"/>
          <w:sz w:val="28"/>
        </w:rPr>
        <w:t>日</w:t>
      </w: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autoSpaceDN w:val="0"/>
        <w:jc w:val="left"/>
        <w:rPr>
          <w:rFonts w:ascii="宋体" w:hAnsi="宋体"/>
        </w:rPr>
      </w:pPr>
    </w:p>
    <w:p>
      <w:pPr>
        <w:tabs>
          <w:tab w:val="left" w:pos="2626"/>
        </w:tabs>
        <w:autoSpaceDN w:val="0"/>
        <w:jc w:val="left"/>
        <w:rPr>
          <w:rFonts w:ascii="宋体" w:hAnsi="宋体" w:cs="宋体"/>
          <w:sz w:val="24"/>
          <w:shd w:val="clear" w:color="auto" w:fill="FFFFFF"/>
        </w:rPr>
      </w:pPr>
      <w:r>
        <w:rPr>
          <w:rFonts w:hint="eastAsia" w:cs="宋体"/>
          <w:sz w:val="28"/>
          <w:shd w:val="clear" w:color="auto" w:fill="FFFFFF"/>
        </w:rPr>
        <w:t>附件一：</w:t>
      </w:r>
      <w:r>
        <w:rPr>
          <w:rFonts w:hint="eastAsia" w:ascii="宋体" w:hAnsi="宋体" w:cs="宋体"/>
          <w:sz w:val="24"/>
          <w:shd w:val="clear" w:color="auto" w:fill="FFFFFF"/>
        </w:rPr>
        <w:t>评分细则表</w:t>
      </w:r>
    </w:p>
    <w:tbl>
      <w:tblPr>
        <w:tblStyle w:val="13"/>
        <w:tblpPr w:leftFromText="180" w:rightFromText="180" w:vertAnchor="text" w:horzAnchor="page" w:tblpX="1522" w:tblpY="390"/>
        <w:tblOverlap w:val="never"/>
        <w:tblW w:w="9180" w:type="dxa"/>
        <w:tblInd w:w="0" w:type="dxa"/>
        <w:tblLayout w:type="fixed"/>
        <w:tblCellMar>
          <w:top w:w="0" w:type="dxa"/>
          <w:left w:w="108" w:type="dxa"/>
          <w:bottom w:w="0" w:type="dxa"/>
          <w:right w:w="108" w:type="dxa"/>
        </w:tblCellMar>
      </w:tblPr>
      <w:tblGrid>
        <w:gridCol w:w="817"/>
        <w:gridCol w:w="284"/>
        <w:gridCol w:w="992"/>
        <w:gridCol w:w="1134"/>
        <w:gridCol w:w="5953"/>
      </w:tblGrid>
      <w:tr>
        <w:tblPrEx>
          <w:tblLayout w:type="fixed"/>
          <w:tblCellMar>
            <w:top w:w="0" w:type="dxa"/>
            <w:left w:w="108" w:type="dxa"/>
            <w:bottom w:w="0" w:type="dxa"/>
            <w:right w:w="108" w:type="dxa"/>
          </w:tblCellMar>
        </w:tblPrEx>
        <w:trPr>
          <w:trHeight w:val="457"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序号</w:t>
            </w:r>
          </w:p>
        </w:tc>
        <w:tc>
          <w:tcPr>
            <w:tcW w:w="1276" w:type="dxa"/>
            <w:gridSpan w:val="2"/>
            <w:tcBorders>
              <w:top w:val="single" w:color="000000" w:sz="4" w:space="0"/>
              <w:left w:val="single" w:color="000000" w:sz="4" w:space="0"/>
              <w:bottom w:val="single" w:color="000000" w:sz="4" w:space="0"/>
              <w:right w:val="single" w:color="000000" w:sz="4" w:space="0"/>
            </w:tcBorders>
          </w:tcPr>
          <w:p>
            <w:pPr>
              <w:widowControl/>
              <w:shd w:val="clear" w:color="auto" w:fill="FFFFFF"/>
              <w:jc w:val="center"/>
              <w:rPr>
                <w:kern w:val="0"/>
                <w:szCs w:val="21"/>
              </w:rPr>
            </w:pPr>
            <w:r>
              <w:rPr>
                <w:rFonts w:hint="eastAsia"/>
                <w:kern w:val="0"/>
                <w:szCs w:val="21"/>
              </w:rPr>
              <w:t>评审因素</w:t>
            </w:r>
          </w:p>
        </w:tc>
        <w:tc>
          <w:tcPr>
            <w:tcW w:w="1134" w:type="dxa"/>
            <w:tcBorders>
              <w:top w:val="single" w:color="000000" w:sz="4" w:space="0"/>
              <w:left w:val="single" w:color="000000" w:sz="4" w:space="0"/>
              <w:bottom w:val="single" w:color="000000" w:sz="4" w:space="0"/>
              <w:right w:val="single" w:color="000000" w:sz="4" w:space="0"/>
            </w:tcBorders>
          </w:tcPr>
          <w:p>
            <w:pPr>
              <w:widowControl/>
              <w:shd w:val="clear" w:color="auto" w:fill="FFFFFF"/>
              <w:jc w:val="center"/>
              <w:rPr>
                <w:kern w:val="0"/>
                <w:szCs w:val="21"/>
              </w:rPr>
            </w:pPr>
            <w:r>
              <w:rPr>
                <w:rFonts w:hint="eastAsia"/>
                <w:kern w:val="0"/>
                <w:szCs w:val="21"/>
              </w:rPr>
              <w:t>满分</w:t>
            </w:r>
          </w:p>
        </w:tc>
        <w:tc>
          <w:tcPr>
            <w:tcW w:w="5953" w:type="dxa"/>
            <w:tcBorders>
              <w:top w:val="single" w:color="000000" w:sz="4" w:space="0"/>
              <w:left w:val="single" w:color="000000" w:sz="4" w:space="0"/>
              <w:bottom w:val="single" w:color="000000" w:sz="4" w:space="0"/>
              <w:right w:val="single" w:color="000000" w:sz="4" w:space="0"/>
            </w:tcBorders>
          </w:tcPr>
          <w:p>
            <w:pPr>
              <w:widowControl/>
              <w:shd w:val="clear" w:color="auto" w:fill="FFFFFF"/>
              <w:jc w:val="center"/>
              <w:rPr>
                <w:kern w:val="0"/>
                <w:szCs w:val="21"/>
              </w:rPr>
            </w:pPr>
            <w:r>
              <w:rPr>
                <w:rFonts w:hint="eastAsia"/>
                <w:kern w:val="0"/>
                <w:szCs w:val="21"/>
              </w:rPr>
              <w:t>评审标准说明</w:t>
            </w:r>
          </w:p>
        </w:tc>
      </w:tr>
      <w:tr>
        <w:tblPrEx>
          <w:tblLayout w:type="fixed"/>
          <w:tblCellMar>
            <w:top w:w="0" w:type="dxa"/>
            <w:left w:w="108" w:type="dxa"/>
            <w:bottom w:w="0" w:type="dxa"/>
            <w:right w:w="108" w:type="dxa"/>
          </w:tblCellMar>
        </w:tblPrEx>
        <w:trPr>
          <w:trHeight w:val="37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p>
          <w:p>
            <w:pPr>
              <w:widowControl/>
              <w:shd w:val="clear" w:color="auto" w:fill="FFFFFF"/>
              <w:jc w:val="center"/>
              <w:rPr>
                <w:kern w:val="0"/>
                <w:szCs w:val="21"/>
              </w:rPr>
            </w:pPr>
            <w:r>
              <w:rPr>
                <w:rFonts w:hint="eastAsia"/>
                <w:kern w:val="0"/>
                <w:szCs w:val="21"/>
              </w:rPr>
              <w:t>1</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p>
          <w:p>
            <w:pPr>
              <w:widowControl/>
              <w:shd w:val="clear" w:color="auto" w:fill="FFFFFF"/>
              <w:jc w:val="center"/>
              <w:rPr>
                <w:kern w:val="0"/>
                <w:szCs w:val="21"/>
              </w:rPr>
            </w:pPr>
            <w:r>
              <w:rPr>
                <w:rFonts w:hint="eastAsia"/>
                <w:kern w:val="0"/>
                <w:szCs w:val="21"/>
              </w:rPr>
              <w:t>报价得分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p>
          <w:p>
            <w:pPr>
              <w:widowControl/>
              <w:shd w:val="clear" w:color="auto" w:fill="FFFFFF"/>
              <w:jc w:val="center"/>
              <w:rPr>
                <w:kern w:val="0"/>
                <w:szCs w:val="21"/>
              </w:rPr>
            </w:pPr>
            <w:r>
              <w:rPr>
                <w:rFonts w:hint="eastAsia"/>
                <w:kern w:val="0"/>
                <w:szCs w:val="21"/>
              </w:rPr>
              <w:t>90</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投标报价为开标时投标人的总报价；</w:t>
            </w:r>
          </w:p>
          <w:p>
            <w:pPr>
              <w:widowControl/>
              <w:shd w:val="clear" w:color="auto" w:fill="FFFFFF"/>
              <w:jc w:val="center"/>
              <w:rPr>
                <w:kern w:val="0"/>
                <w:szCs w:val="21"/>
              </w:rPr>
            </w:pPr>
            <w:r>
              <w:rPr>
                <w:rFonts w:hint="eastAsia"/>
                <w:kern w:val="0"/>
                <w:szCs w:val="21"/>
              </w:rPr>
              <w:t>根据投标报价中付款条件，将账期统一，按照同期银行利率折算，比较价格。按照价格排名，排名最高的为85分，每相差一名扣10分。</w:t>
            </w:r>
          </w:p>
        </w:tc>
      </w:tr>
      <w:tr>
        <w:tblPrEx>
          <w:tblLayout w:type="fixed"/>
          <w:tblCellMar>
            <w:top w:w="0" w:type="dxa"/>
            <w:left w:w="108" w:type="dxa"/>
            <w:bottom w:w="0" w:type="dxa"/>
            <w:right w:w="108" w:type="dxa"/>
          </w:tblCellMar>
        </w:tblPrEx>
        <w:trPr>
          <w:trHeight w:val="37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2</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业绩</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5</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投标人每具有一项废旧物资回收业绩得2分，最多得5分（以协议书和合同原件为准）</w:t>
            </w:r>
          </w:p>
        </w:tc>
      </w:tr>
      <w:tr>
        <w:tblPrEx>
          <w:tblLayout w:type="fixed"/>
          <w:tblCellMar>
            <w:top w:w="0" w:type="dxa"/>
            <w:left w:w="108" w:type="dxa"/>
            <w:bottom w:w="0" w:type="dxa"/>
            <w:right w:w="108" w:type="dxa"/>
          </w:tblCellMar>
        </w:tblPrEx>
        <w:trPr>
          <w:trHeight w:val="37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3</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组织实施方案（含安全方案和环节方案）</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5</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根据投标人针对本次招标项目所制定的回收方案由评标委员会分三个档次打分。优：4~5分，良：2~3分，一般：0~1分；</w:t>
            </w:r>
          </w:p>
        </w:tc>
      </w:tr>
      <w:tr>
        <w:tblPrEx>
          <w:tblLayout w:type="fixed"/>
          <w:tblCellMar>
            <w:top w:w="0" w:type="dxa"/>
            <w:left w:w="108" w:type="dxa"/>
            <w:bottom w:w="0" w:type="dxa"/>
            <w:right w:w="108" w:type="dxa"/>
          </w:tblCellMar>
        </w:tblPrEx>
        <w:trPr>
          <w:trHeight w:val="375" w:hRule="atLeast"/>
        </w:trPr>
        <w:tc>
          <w:tcPr>
            <w:tcW w:w="918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b/>
                <w:color w:val="000000"/>
              </w:rPr>
            </w:pPr>
            <w:r>
              <w:rPr>
                <w:rFonts w:hint="eastAsia" w:ascii="宋体" w:hAnsi="宋体"/>
                <w:b/>
                <w:color w:val="000000"/>
              </w:rPr>
              <w:t>以下为本次固废垃圾招标的要求事项，若中标后未满足以下要求，招标方可立即解除合同</w:t>
            </w:r>
          </w:p>
        </w:tc>
      </w:tr>
      <w:tr>
        <w:tblPrEx>
          <w:tblLayout w:type="fixed"/>
          <w:tblCellMar>
            <w:top w:w="0" w:type="dxa"/>
            <w:left w:w="108" w:type="dxa"/>
            <w:bottom w:w="0" w:type="dxa"/>
            <w:right w:w="108" w:type="dxa"/>
          </w:tblCellMar>
        </w:tblPrEx>
        <w:trPr>
          <w:trHeight w:val="375" w:hRule="atLeast"/>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序号</w:t>
            </w:r>
          </w:p>
        </w:tc>
        <w:tc>
          <w:tcPr>
            <w:tcW w:w="8079" w:type="dxa"/>
            <w:gridSpan w:val="3"/>
            <w:tcBorders>
              <w:top w:val="single" w:color="000000" w:sz="4" w:space="0"/>
              <w:left w:val="single" w:color="000000" w:sz="4" w:space="0"/>
              <w:bottom w:val="single" w:color="000000" w:sz="4" w:space="0"/>
              <w:right w:val="single" w:color="000000" w:sz="4" w:space="0"/>
            </w:tcBorders>
          </w:tcPr>
          <w:p>
            <w:pPr>
              <w:widowControl/>
              <w:shd w:val="clear" w:color="auto" w:fill="FFFFFF"/>
              <w:jc w:val="center"/>
              <w:rPr>
                <w:kern w:val="0"/>
                <w:szCs w:val="21"/>
              </w:rPr>
            </w:pPr>
            <w:r>
              <w:rPr>
                <w:rFonts w:hint="eastAsia" w:ascii="宋体" w:hAnsi="宋体"/>
                <w:b/>
                <w:color w:val="000000"/>
              </w:rPr>
              <w:t>要求事项</w:t>
            </w:r>
          </w:p>
        </w:tc>
      </w:tr>
      <w:tr>
        <w:tblPrEx>
          <w:tblLayout w:type="fixed"/>
          <w:tblCellMar>
            <w:top w:w="0" w:type="dxa"/>
            <w:left w:w="108" w:type="dxa"/>
            <w:bottom w:w="0" w:type="dxa"/>
            <w:right w:w="108" w:type="dxa"/>
          </w:tblCellMar>
        </w:tblPrEx>
        <w:trPr>
          <w:trHeight w:val="375" w:hRule="atLeast"/>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1</w:t>
            </w: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在垃圾站附近安装4个监控摄像（安装位置由招标方确定），费用由投标方承担。</w:t>
            </w:r>
          </w:p>
        </w:tc>
      </w:tr>
      <w:tr>
        <w:tblPrEx>
          <w:tblLayout w:type="fixed"/>
          <w:tblCellMar>
            <w:top w:w="0" w:type="dxa"/>
            <w:left w:w="108" w:type="dxa"/>
            <w:bottom w:w="0" w:type="dxa"/>
            <w:right w:w="108" w:type="dxa"/>
          </w:tblCellMar>
        </w:tblPrEx>
        <w:trPr>
          <w:trHeight w:val="375" w:hRule="atLeast"/>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2</w:t>
            </w: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严格按照招标方要求的时间清理垃圾。每天必须8点半进场清理，特殊情况招标方另行书面通知投标方。</w:t>
            </w:r>
          </w:p>
        </w:tc>
      </w:tr>
      <w:tr>
        <w:tblPrEx>
          <w:tblLayout w:type="fixed"/>
          <w:tblCellMar>
            <w:top w:w="0" w:type="dxa"/>
            <w:left w:w="108" w:type="dxa"/>
            <w:bottom w:w="0" w:type="dxa"/>
            <w:right w:w="108" w:type="dxa"/>
          </w:tblCellMar>
        </w:tblPrEx>
        <w:trPr>
          <w:trHeight w:val="375" w:hRule="atLeast"/>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3</w:t>
            </w: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严格按照“招标产品规格”清单处理相应废物，不得私自夹带非清单内物品。</w:t>
            </w:r>
          </w:p>
        </w:tc>
      </w:tr>
      <w:tr>
        <w:tblPrEx>
          <w:tblLayout w:type="fixed"/>
          <w:tblCellMar>
            <w:top w:w="0" w:type="dxa"/>
            <w:left w:w="108" w:type="dxa"/>
            <w:bottom w:w="0" w:type="dxa"/>
            <w:right w:w="108" w:type="dxa"/>
          </w:tblCellMar>
        </w:tblPrEx>
        <w:trPr>
          <w:trHeight w:val="375" w:hRule="atLeast"/>
        </w:trPr>
        <w:tc>
          <w:tcPr>
            <w:tcW w:w="1101" w:type="dxa"/>
            <w:gridSpan w:val="2"/>
            <w:vMerge w:val="restart"/>
            <w:tcBorders>
              <w:top w:val="single" w:color="000000" w:sz="4" w:space="0"/>
              <w:left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4</w:t>
            </w: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必须服从现场管理，清理完废物后，要将现场打扫清理干净，方可离场。</w:t>
            </w:r>
          </w:p>
        </w:tc>
      </w:tr>
      <w:tr>
        <w:tblPrEx>
          <w:tblLayout w:type="fixed"/>
          <w:tblCellMar>
            <w:top w:w="0" w:type="dxa"/>
            <w:left w:w="108" w:type="dxa"/>
            <w:bottom w:w="0" w:type="dxa"/>
            <w:right w:w="108" w:type="dxa"/>
          </w:tblCellMar>
        </w:tblPrEx>
        <w:trPr>
          <w:trHeight w:val="375" w:hRule="atLeast"/>
        </w:trPr>
        <w:tc>
          <w:tcPr>
            <w:tcW w:w="1101" w:type="dxa"/>
            <w:gridSpan w:val="2"/>
            <w:vMerge w:val="continue"/>
            <w:tcBorders>
              <w:left w:val="single" w:color="000000" w:sz="4" w:space="0"/>
              <w:right w:val="single" w:color="000000" w:sz="4" w:space="0"/>
            </w:tcBorders>
            <w:vAlign w:val="center"/>
          </w:tcPr>
          <w:p>
            <w:pPr>
              <w:widowControl/>
              <w:shd w:val="clear" w:color="auto" w:fill="FFFFFF"/>
              <w:jc w:val="center"/>
              <w:rPr>
                <w:kern w:val="0"/>
                <w:szCs w:val="21"/>
              </w:rPr>
            </w:pP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每天固定作业人员及车辆信息需在招标方进行备案</w:t>
            </w:r>
          </w:p>
        </w:tc>
      </w:tr>
      <w:tr>
        <w:tblPrEx>
          <w:tblLayout w:type="fixed"/>
          <w:tblCellMar>
            <w:top w:w="0" w:type="dxa"/>
            <w:left w:w="108" w:type="dxa"/>
            <w:bottom w:w="0" w:type="dxa"/>
            <w:right w:w="108" w:type="dxa"/>
          </w:tblCellMar>
        </w:tblPrEx>
        <w:trPr>
          <w:trHeight w:val="375" w:hRule="atLeast"/>
        </w:trPr>
        <w:tc>
          <w:tcPr>
            <w:tcW w:w="1101" w:type="dxa"/>
            <w:gridSpan w:val="2"/>
            <w:vMerge w:val="continue"/>
            <w:tcBorders>
              <w:left w:val="single" w:color="000000" w:sz="4" w:space="0"/>
              <w:right w:val="single" w:color="000000" w:sz="4" w:space="0"/>
            </w:tcBorders>
            <w:vAlign w:val="center"/>
          </w:tcPr>
          <w:p>
            <w:pPr>
              <w:widowControl/>
              <w:shd w:val="clear" w:color="auto" w:fill="FFFFFF"/>
              <w:jc w:val="center"/>
              <w:rPr>
                <w:kern w:val="0"/>
                <w:szCs w:val="21"/>
              </w:rPr>
            </w:pP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如有自带设备进场，需在招标方处登记，该设备操作人员需经过相应培训</w:t>
            </w:r>
          </w:p>
        </w:tc>
      </w:tr>
      <w:tr>
        <w:tblPrEx>
          <w:tblLayout w:type="fixed"/>
          <w:tblCellMar>
            <w:top w:w="0" w:type="dxa"/>
            <w:left w:w="108" w:type="dxa"/>
            <w:bottom w:w="0" w:type="dxa"/>
            <w:right w:w="108" w:type="dxa"/>
          </w:tblCellMar>
        </w:tblPrEx>
        <w:trPr>
          <w:trHeight w:val="375" w:hRule="atLeast"/>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5</w:t>
            </w:r>
          </w:p>
        </w:tc>
        <w:tc>
          <w:tcPr>
            <w:tcW w:w="80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left"/>
              <w:textAlignment w:val="center"/>
              <w:rPr>
                <w:rFonts w:ascii="宋体" w:hAnsi="宋体"/>
                <w:color w:val="000000"/>
              </w:rPr>
            </w:pPr>
            <w:r>
              <w:rPr>
                <w:rFonts w:hint="eastAsia" w:ascii="宋体" w:hAnsi="宋体"/>
                <w:color w:val="000000"/>
              </w:rPr>
              <w:t>签核附件三的《</w:t>
            </w:r>
            <w:r>
              <w:rPr>
                <w:rFonts w:hint="eastAsia" w:ascii="宋体" w:hAnsi="宋体"/>
                <w:b/>
                <w:sz w:val="24"/>
                <w:szCs w:val="24"/>
              </w:rPr>
              <w:t>安全管理协议书</w:t>
            </w:r>
            <w:r>
              <w:rPr>
                <w:rFonts w:hint="eastAsia" w:ascii="宋体" w:hAnsi="宋体"/>
                <w:color w:val="000000"/>
              </w:rPr>
              <w:t>》，不遵守《</w:t>
            </w:r>
            <w:r>
              <w:rPr>
                <w:rFonts w:hint="eastAsia" w:ascii="宋体" w:hAnsi="宋体"/>
                <w:b/>
                <w:sz w:val="24"/>
                <w:szCs w:val="24"/>
              </w:rPr>
              <w:t>安全管理协议书</w:t>
            </w:r>
            <w:r>
              <w:rPr>
                <w:rFonts w:hint="eastAsia" w:ascii="宋体" w:hAnsi="宋体"/>
                <w:color w:val="000000"/>
              </w:rPr>
              <w:t>》要求,重复两次及以上</w:t>
            </w:r>
          </w:p>
        </w:tc>
      </w:tr>
    </w:tbl>
    <w:p>
      <w:pPr>
        <w:tabs>
          <w:tab w:val="left" w:pos="2626"/>
        </w:tabs>
        <w:autoSpaceDN w:val="0"/>
        <w:jc w:val="left"/>
        <w:rPr>
          <w:rFonts w:ascii="宋体" w:hAnsi="宋体" w:cs="宋体"/>
          <w:sz w:val="24"/>
          <w:shd w:val="clear" w:color="auto" w:fill="FFFFFF"/>
        </w:rPr>
      </w:pPr>
    </w:p>
    <w:p>
      <w:pPr>
        <w:tabs>
          <w:tab w:val="left" w:pos="2626"/>
        </w:tabs>
        <w:autoSpaceDN w:val="0"/>
        <w:jc w:val="left"/>
        <w:rPr>
          <w:rFonts w:ascii="宋体" w:hAnsi="宋体" w:cs="宋体"/>
          <w:sz w:val="24"/>
          <w:shd w:val="clear" w:color="auto" w:fill="FFFFFF"/>
        </w:rPr>
      </w:pPr>
    </w:p>
    <w:p>
      <w:pPr>
        <w:tabs>
          <w:tab w:val="left" w:pos="2626"/>
        </w:tabs>
        <w:autoSpaceDN w:val="0"/>
        <w:jc w:val="left"/>
        <w:rPr>
          <w:rFonts w:ascii="宋体" w:hAnsi="宋体" w:cs="宋体"/>
          <w:sz w:val="24"/>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tabs>
          <w:tab w:val="left" w:pos="2626"/>
        </w:tabs>
        <w:autoSpaceDN w:val="0"/>
        <w:jc w:val="left"/>
        <w:rPr>
          <w:rFonts w:cs="宋体"/>
          <w:sz w:val="28"/>
          <w:shd w:val="clear" w:color="auto" w:fill="FFFFFF"/>
        </w:rPr>
      </w:pPr>
    </w:p>
    <w:p>
      <w:pPr>
        <w:autoSpaceDN w:val="0"/>
        <w:jc w:val="left"/>
        <w:rPr>
          <w:rFonts w:hAnsi="宋体"/>
          <w:sz w:val="24"/>
          <w:szCs w:val="24"/>
        </w:rPr>
      </w:pPr>
      <w:r>
        <w:rPr>
          <w:rFonts w:ascii="宋体" w:hAnsi="宋体"/>
          <w:sz w:val="24"/>
          <w:szCs w:val="24"/>
        </w:rPr>
        <w:t>附件</w:t>
      </w:r>
      <w:r>
        <w:rPr>
          <w:rFonts w:hint="eastAsia" w:ascii="宋体" w:hAnsi="宋体"/>
          <w:sz w:val="24"/>
          <w:szCs w:val="24"/>
        </w:rPr>
        <w:t>二</w:t>
      </w:r>
      <w:r>
        <w:rPr>
          <w:rFonts w:ascii="宋体" w:hAnsi="宋体"/>
          <w:sz w:val="24"/>
          <w:szCs w:val="24"/>
        </w:rPr>
        <w:t>：</w:t>
      </w:r>
    </w:p>
    <w:p>
      <w:pPr>
        <w:shd w:val="solid" w:color="FFFFFF" w:fill="auto"/>
        <w:autoSpaceDN w:val="0"/>
        <w:jc w:val="center"/>
        <w:rPr>
          <w:rFonts w:ascii="宋体" w:hAnsi="宋体"/>
          <w:b/>
          <w:bCs/>
          <w:sz w:val="24"/>
          <w:szCs w:val="24"/>
        </w:rPr>
      </w:pPr>
      <w:r>
        <w:rPr>
          <w:rFonts w:ascii="宋体" w:hAnsi="宋体"/>
          <w:b/>
          <w:bCs/>
          <w:sz w:val="24"/>
          <w:szCs w:val="24"/>
        </w:rPr>
        <w:t>投标报价单</w:t>
      </w:r>
    </w:p>
    <w:p>
      <w:pPr>
        <w:shd w:val="solid" w:color="FFFFFF" w:fill="auto"/>
        <w:autoSpaceDN w:val="0"/>
        <w:jc w:val="center"/>
        <w:rPr>
          <w:rFonts w:ascii="宋体" w:hAnsi="宋体"/>
          <w:sz w:val="24"/>
          <w:szCs w:val="24"/>
        </w:rPr>
      </w:pPr>
      <w:r>
        <w:rPr>
          <w:rFonts w:ascii="宋体" w:hAnsi="宋体"/>
          <w:sz w:val="24"/>
          <w:szCs w:val="24"/>
        </w:rPr>
        <w:t>（须单独密封，用于公开报价）</w:t>
      </w:r>
    </w:p>
    <w:p>
      <w:pPr>
        <w:shd w:val="solid" w:color="FFFFFF" w:fill="auto"/>
        <w:autoSpaceDN w:val="0"/>
        <w:jc w:val="center"/>
        <w:rPr>
          <w:rFonts w:ascii="宋体" w:hAnsi="宋体"/>
          <w:sz w:val="24"/>
          <w:szCs w:val="24"/>
        </w:rPr>
      </w:pPr>
    </w:p>
    <w:p>
      <w:pPr>
        <w:shd w:val="solid" w:color="FFFFFF" w:fill="auto"/>
        <w:autoSpaceDN w:val="0"/>
        <w:rPr>
          <w:rFonts w:ascii="宋体" w:hAnsi="宋体"/>
          <w:sz w:val="24"/>
          <w:szCs w:val="24"/>
        </w:rPr>
      </w:pPr>
      <w:r>
        <w:rPr>
          <w:rFonts w:hint="eastAsia" w:ascii="宋体" w:hAnsi="宋体"/>
          <w:sz w:val="24"/>
          <w:szCs w:val="24"/>
        </w:rPr>
        <w:t>报价单位</w:t>
      </w:r>
      <w:r>
        <w:rPr>
          <w:rFonts w:ascii="宋体" w:hAnsi="宋体"/>
          <w:sz w:val="24"/>
          <w:szCs w:val="24"/>
        </w:rPr>
        <w:t xml:space="preserve">名称：              </w:t>
      </w:r>
      <w:r>
        <w:rPr>
          <w:rFonts w:hint="eastAsia" w:ascii="宋体" w:hAnsi="宋体"/>
          <w:sz w:val="24"/>
          <w:szCs w:val="24"/>
        </w:rPr>
        <w:t xml:space="preserve">  </w:t>
      </w:r>
      <w:r>
        <w:rPr>
          <w:rFonts w:ascii="宋体" w:hAnsi="宋体"/>
          <w:sz w:val="24"/>
          <w:szCs w:val="24"/>
        </w:rPr>
        <w:t xml:space="preserve">  法定代表人或授权代理人签字：</w:t>
      </w:r>
    </w:p>
    <w:p>
      <w:pPr>
        <w:shd w:val="solid" w:color="FFFFFF" w:fill="auto"/>
        <w:autoSpaceDN w:val="0"/>
        <w:rPr>
          <w:rFonts w:ascii="宋体" w:hAnsi="宋体"/>
          <w:sz w:val="24"/>
          <w:szCs w:val="24"/>
        </w:rPr>
      </w:pPr>
      <w:r>
        <w:rPr>
          <w:rFonts w:ascii="宋体" w:hAnsi="宋体"/>
          <w:sz w:val="24"/>
          <w:szCs w:val="24"/>
        </w:rPr>
        <w:t xml:space="preserve">电话/传真：                </w:t>
      </w:r>
      <w:r>
        <w:rPr>
          <w:rFonts w:hint="eastAsia" w:ascii="宋体" w:hAnsi="宋体"/>
          <w:sz w:val="24"/>
          <w:szCs w:val="24"/>
        </w:rPr>
        <w:t xml:space="preserve">    </w:t>
      </w:r>
      <w:r>
        <w:rPr>
          <w:rFonts w:ascii="宋体" w:hAnsi="宋体"/>
          <w:sz w:val="24"/>
          <w:szCs w:val="24"/>
        </w:rPr>
        <w:t xml:space="preserve"> 地  址：                                 </w:t>
      </w:r>
    </w:p>
    <w:p>
      <w:pPr>
        <w:shd w:val="solid" w:color="FFFFFF" w:fill="auto"/>
        <w:autoSpaceDN w:val="0"/>
        <w:jc w:val="left"/>
        <w:rPr>
          <w:rFonts w:ascii="宋体" w:hAnsi="宋体"/>
          <w:sz w:val="24"/>
          <w:szCs w:val="24"/>
        </w:rPr>
      </w:pPr>
      <w:r>
        <w:rPr>
          <w:rFonts w:ascii="宋体" w:hAnsi="宋体"/>
          <w:sz w:val="24"/>
          <w:szCs w:val="24"/>
        </w:rPr>
        <w:t>邮 箱：</w:t>
      </w:r>
    </w:p>
    <w:tbl>
      <w:tblPr>
        <w:tblStyle w:val="13"/>
        <w:tblpPr w:leftFromText="180" w:rightFromText="180" w:vertAnchor="text" w:horzAnchor="page" w:tblpX="1522" w:tblpY="390"/>
        <w:tblOverlap w:val="never"/>
        <w:tblW w:w="9606" w:type="dxa"/>
        <w:tblInd w:w="0" w:type="dxa"/>
        <w:tblLayout w:type="fixed"/>
        <w:tblCellMar>
          <w:top w:w="0" w:type="dxa"/>
          <w:left w:w="108" w:type="dxa"/>
          <w:bottom w:w="0" w:type="dxa"/>
          <w:right w:w="108" w:type="dxa"/>
        </w:tblCellMar>
      </w:tblPr>
      <w:tblGrid>
        <w:gridCol w:w="1165"/>
        <w:gridCol w:w="2345"/>
        <w:gridCol w:w="993"/>
        <w:gridCol w:w="1417"/>
        <w:gridCol w:w="1701"/>
        <w:gridCol w:w="1985"/>
      </w:tblGrid>
      <w:tr>
        <w:tblPrEx>
          <w:tblLayout w:type="fixed"/>
          <w:tblCellMar>
            <w:top w:w="0" w:type="dxa"/>
            <w:left w:w="108" w:type="dxa"/>
            <w:bottom w:w="0" w:type="dxa"/>
            <w:right w:w="108" w:type="dxa"/>
          </w:tblCellMar>
        </w:tblPrEx>
        <w:trPr>
          <w:trHeight w:val="457"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货物名称</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规格</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单价</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数量（KG）</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总金额（元）</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备注</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废铁</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报废含铁物资</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废铁块、废钢等</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废铁皮</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报废含铁物资</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废纸</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生产丢弃的废纸</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含废纸箱、废纸等其他纸制品</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塑料</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生产丢弃的塑料</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白色塑料</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杂塑料</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生产丢弃的杂塑料</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含杂质或添加物杂塑料</w:t>
            </w: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泡沫海绵</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生产丢弃的泡沫海绵</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大托盘</w:t>
            </w:r>
          </w:p>
          <w:p>
            <w:pPr>
              <w:widowControl/>
              <w:shd w:val="clear" w:color="auto" w:fill="FFFFFF"/>
              <w:jc w:val="center"/>
              <w:rPr>
                <w:kern w:val="0"/>
                <w:szCs w:val="21"/>
              </w:rPr>
            </w:pPr>
            <w:r>
              <w:rPr>
                <w:rFonts w:hint="eastAsia"/>
                <w:kern w:val="0"/>
                <w:szCs w:val="21"/>
              </w:rPr>
              <w:t>（实木）</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&gt;=1.6m*1m*0.12m托盘</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大托盘</w:t>
            </w:r>
          </w:p>
          <w:p>
            <w:pPr>
              <w:widowControl/>
              <w:shd w:val="clear" w:color="auto" w:fill="FFFFFF"/>
              <w:jc w:val="center"/>
              <w:rPr>
                <w:kern w:val="0"/>
                <w:szCs w:val="21"/>
              </w:rPr>
            </w:pPr>
            <w:r>
              <w:rPr>
                <w:rFonts w:hint="eastAsia"/>
                <w:kern w:val="0"/>
                <w:szCs w:val="21"/>
              </w:rPr>
              <w:t>（多层板）</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&gt;=1.6m*1m*0.12m托盘</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小托盘</w:t>
            </w:r>
          </w:p>
          <w:p>
            <w:pPr>
              <w:widowControl/>
              <w:shd w:val="clear" w:color="auto" w:fill="FFFFFF"/>
              <w:jc w:val="center"/>
              <w:rPr>
                <w:kern w:val="0"/>
                <w:szCs w:val="21"/>
              </w:rPr>
            </w:pPr>
            <w:r>
              <w:rPr>
                <w:rFonts w:hint="eastAsia"/>
                <w:kern w:val="0"/>
                <w:szCs w:val="21"/>
              </w:rPr>
              <w:t>（实木）</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&gt;=1.02m*0.86m*0.12 &lt;1.6m*1m*0.12m</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小托盘</w:t>
            </w:r>
          </w:p>
          <w:p>
            <w:pPr>
              <w:widowControl/>
              <w:shd w:val="clear" w:color="auto" w:fill="FFFFFF"/>
              <w:jc w:val="center"/>
              <w:rPr>
                <w:kern w:val="0"/>
                <w:szCs w:val="21"/>
              </w:rPr>
            </w:pPr>
            <w:r>
              <w:rPr>
                <w:rFonts w:hint="eastAsia"/>
                <w:kern w:val="0"/>
                <w:szCs w:val="21"/>
              </w:rPr>
              <w:t>（多层板）</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&gt;=1.02m*0.86m*0.12 &lt;1.6m*1m*0.12m</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r>
        <w:tblPrEx>
          <w:tblLayout w:type="fixed"/>
          <w:tblCellMar>
            <w:top w:w="0" w:type="dxa"/>
            <w:left w:w="108" w:type="dxa"/>
            <w:bottom w:w="0" w:type="dxa"/>
            <w:right w:w="108" w:type="dxa"/>
          </w:tblCellMar>
        </w:tblPrEx>
        <w:trPr>
          <w:trHeight w:val="37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废木材</w:t>
            </w:r>
          </w:p>
        </w:tc>
        <w:tc>
          <w:tcPr>
            <w:tcW w:w="234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jc w:val="center"/>
              <w:rPr>
                <w:kern w:val="0"/>
                <w:szCs w:val="21"/>
              </w:rPr>
            </w:pPr>
            <w:r>
              <w:rPr>
                <w:rFonts w:hint="eastAsia"/>
                <w:kern w:val="0"/>
                <w:szCs w:val="21"/>
              </w:rPr>
              <w:t>除以上木质托盘外的废旧木材</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r>
              <w:rPr>
                <w:rFonts w:hint="eastAsia" w:ascii="宋体" w:hAnsi="宋体"/>
                <w:color w:val="000000"/>
              </w:rPr>
              <w:t>按实际数量计算</w:t>
            </w:r>
          </w:p>
        </w:tc>
        <w:tc>
          <w:tcPr>
            <w:tcW w:w="1985" w:type="dxa"/>
            <w:tcBorders>
              <w:top w:val="single" w:color="000000" w:sz="4" w:space="0"/>
              <w:left w:val="single" w:color="000000" w:sz="4" w:space="0"/>
              <w:bottom w:val="single" w:color="000000" w:sz="4" w:space="0"/>
              <w:right w:val="single" w:color="000000" w:sz="4" w:space="0"/>
            </w:tcBorders>
            <w:vAlign w:val="center"/>
          </w:tcPr>
          <w:p>
            <w:pPr>
              <w:autoSpaceDN w:val="0"/>
              <w:spacing w:line="288" w:lineRule="auto"/>
              <w:jc w:val="center"/>
              <w:textAlignment w:val="center"/>
              <w:rPr>
                <w:rFonts w:ascii="宋体" w:hAnsi="宋体"/>
                <w:color w:val="000000"/>
              </w:rPr>
            </w:pPr>
          </w:p>
        </w:tc>
      </w:tr>
    </w:tbl>
    <w:p>
      <w:pPr>
        <w:rPr>
          <w:rFonts w:ascii="仿宋" w:hAnsi="仿宋" w:eastAsia="仿宋" w:cs="仿宋"/>
          <w:sz w:val="24"/>
          <w:szCs w:val="24"/>
        </w:rPr>
      </w:pPr>
      <w:r>
        <w:rPr>
          <w:rFonts w:hint="eastAsia" w:ascii="仿宋" w:hAnsi="仿宋" w:eastAsia="仿宋" w:cs="仿宋"/>
          <w:sz w:val="24"/>
          <w:szCs w:val="24"/>
        </w:rPr>
        <w:t>报价内容：</w:t>
      </w:r>
    </w:p>
    <w:p>
      <w:pPr>
        <w:rPr>
          <w:rFonts w:ascii="仿宋" w:hAnsi="仿宋" w:eastAsia="仿宋" w:cs="仿宋"/>
          <w:sz w:val="24"/>
          <w:szCs w:val="24"/>
        </w:rPr>
      </w:pPr>
    </w:p>
    <w:tbl>
      <w:tblPr>
        <w:tblStyle w:val="13"/>
        <w:tblpPr w:leftFromText="180" w:rightFromText="180" w:vertAnchor="text" w:horzAnchor="page" w:tblpX="1522" w:tblpY="390"/>
        <w:tblOverlap w:val="never"/>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9606" w:type="dxa"/>
            <w:gridSpan w:val="2"/>
            <w:vAlign w:val="center"/>
          </w:tcPr>
          <w:p>
            <w:pPr>
              <w:autoSpaceDN w:val="0"/>
              <w:spacing w:line="288" w:lineRule="auto"/>
              <w:jc w:val="center"/>
              <w:textAlignment w:val="center"/>
              <w:rPr>
                <w:rFonts w:ascii="宋体" w:hAnsi="宋体"/>
                <w:b/>
                <w:color w:val="000000"/>
              </w:rPr>
            </w:pPr>
            <w:r>
              <w:rPr>
                <w:rFonts w:hint="eastAsia" w:ascii="宋体" w:hAnsi="宋体"/>
                <w:b/>
                <w:color w:val="000000"/>
              </w:rPr>
              <w:t>以下为本次固废垃圾招标的要求事项，若中标后未满足以下要求，招标方可立即解除合同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Align w:val="center"/>
          </w:tcPr>
          <w:p>
            <w:pPr>
              <w:widowControl/>
              <w:shd w:val="clear" w:color="auto" w:fill="FFFFFF"/>
              <w:jc w:val="center"/>
              <w:rPr>
                <w:kern w:val="0"/>
                <w:szCs w:val="21"/>
              </w:rPr>
            </w:pPr>
            <w:r>
              <w:rPr>
                <w:rFonts w:hint="eastAsia"/>
                <w:kern w:val="0"/>
                <w:szCs w:val="21"/>
              </w:rPr>
              <w:t>1</w:t>
            </w: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在垃圾站附近安装4个监控摄像（安装位置由招标方确定），费用由投标方承担。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Align w:val="center"/>
          </w:tcPr>
          <w:p>
            <w:pPr>
              <w:widowControl/>
              <w:shd w:val="clear" w:color="auto" w:fill="FFFFFF"/>
              <w:jc w:val="center"/>
              <w:rPr>
                <w:kern w:val="0"/>
                <w:szCs w:val="21"/>
              </w:rPr>
            </w:pPr>
            <w:r>
              <w:rPr>
                <w:rFonts w:hint="eastAsia"/>
                <w:kern w:val="0"/>
                <w:szCs w:val="21"/>
              </w:rPr>
              <w:t>2</w:t>
            </w: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严格按照招标方要求的时间清理垃圾。每天必须8点半进场清理，特殊情况招标方另行通知投标方。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Align w:val="center"/>
          </w:tcPr>
          <w:p>
            <w:pPr>
              <w:widowControl/>
              <w:shd w:val="clear" w:color="auto" w:fill="FFFFFF"/>
              <w:jc w:val="center"/>
              <w:rPr>
                <w:kern w:val="0"/>
                <w:szCs w:val="21"/>
              </w:rPr>
            </w:pPr>
            <w:r>
              <w:rPr>
                <w:rFonts w:hint="eastAsia"/>
                <w:kern w:val="0"/>
                <w:szCs w:val="21"/>
              </w:rPr>
              <w:t>3</w:t>
            </w: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严格按照“招标产品规格”清单处理相应废物，不得私自夹带非清单内物品。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Merge w:val="restart"/>
            <w:vAlign w:val="center"/>
          </w:tcPr>
          <w:p>
            <w:pPr>
              <w:widowControl/>
              <w:shd w:val="clear" w:color="auto" w:fill="FFFFFF"/>
              <w:jc w:val="center"/>
              <w:rPr>
                <w:kern w:val="0"/>
                <w:szCs w:val="21"/>
              </w:rPr>
            </w:pPr>
            <w:r>
              <w:rPr>
                <w:rFonts w:hint="eastAsia"/>
                <w:kern w:val="0"/>
                <w:szCs w:val="21"/>
              </w:rPr>
              <w:t>4</w:t>
            </w: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必须服从现场管理，清理完废物后，要将现场打扫清理干净，方可离场。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Merge w:val="continue"/>
            <w:vAlign w:val="center"/>
          </w:tcPr>
          <w:p>
            <w:pPr>
              <w:widowControl/>
              <w:shd w:val="clear" w:color="auto" w:fill="FFFFFF"/>
              <w:jc w:val="center"/>
              <w:rPr>
                <w:kern w:val="0"/>
                <w:szCs w:val="21"/>
              </w:rPr>
            </w:pP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每天固定作业人员及车辆信息需在招标方进行备案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Merge w:val="continue"/>
            <w:vAlign w:val="center"/>
          </w:tcPr>
          <w:p>
            <w:pPr>
              <w:widowControl/>
              <w:shd w:val="clear" w:color="auto" w:fill="FFFFFF"/>
              <w:jc w:val="center"/>
              <w:rPr>
                <w:kern w:val="0"/>
                <w:szCs w:val="21"/>
              </w:rPr>
            </w:pP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如有自带设备进场，需在招标方处登记，该设备操作人员需经过相应培训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Merge w:val="continue"/>
            <w:vAlign w:val="center"/>
          </w:tcPr>
          <w:p>
            <w:pPr>
              <w:widowControl/>
              <w:shd w:val="clear" w:color="auto" w:fill="FFFFFF"/>
              <w:jc w:val="center"/>
              <w:rPr>
                <w:kern w:val="0"/>
                <w:szCs w:val="21"/>
              </w:rPr>
            </w:pP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不服从招标方管理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101" w:type="dxa"/>
            <w:vAlign w:val="center"/>
          </w:tcPr>
          <w:p>
            <w:pPr>
              <w:widowControl/>
              <w:shd w:val="clear" w:color="auto" w:fill="FFFFFF"/>
              <w:jc w:val="center"/>
              <w:rPr>
                <w:kern w:val="0"/>
                <w:szCs w:val="21"/>
              </w:rPr>
            </w:pPr>
            <w:r>
              <w:rPr>
                <w:rFonts w:hint="eastAsia"/>
                <w:kern w:val="0"/>
                <w:szCs w:val="21"/>
              </w:rPr>
              <w:t>5</w:t>
            </w:r>
          </w:p>
        </w:tc>
        <w:tc>
          <w:tcPr>
            <w:tcW w:w="8505" w:type="dxa"/>
            <w:vAlign w:val="center"/>
          </w:tcPr>
          <w:p>
            <w:pPr>
              <w:autoSpaceDN w:val="0"/>
              <w:spacing w:line="288" w:lineRule="auto"/>
              <w:jc w:val="left"/>
              <w:textAlignment w:val="center"/>
              <w:rPr>
                <w:rFonts w:ascii="宋体" w:hAnsi="宋体"/>
                <w:color w:val="000000"/>
              </w:rPr>
            </w:pPr>
            <w:r>
              <w:rPr>
                <w:rFonts w:hint="eastAsia" w:ascii="宋体" w:hAnsi="宋体"/>
                <w:color w:val="000000"/>
              </w:rPr>
              <w:t>签核附件三的《</w:t>
            </w:r>
            <w:r>
              <w:rPr>
                <w:rFonts w:hint="eastAsia" w:ascii="宋体" w:hAnsi="宋体"/>
                <w:b/>
                <w:sz w:val="24"/>
                <w:szCs w:val="24"/>
              </w:rPr>
              <w:t>安全管理协议书</w:t>
            </w:r>
            <w:r>
              <w:rPr>
                <w:rFonts w:hint="eastAsia" w:ascii="宋体" w:hAnsi="宋体"/>
                <w:color w:val="000000"/>
              </w:rPr>
              <w:t>》，不遵守《</w:t>
            </w:r>
            <w:r>
              <w:rPr>
                <w:rFonts w:hint="eastAsia" w:ascii="宋体" w:hAnsi="宋体"/>
                <w:b/>
                <w:sz w:val="24"/>
                <w:szCs w:val="24"/>
              </w:rPr>
              <w:t>安全管理协议书</w:t>
            </w:r>
            <w:r>
              <w:rPr>
                <w:rFonts w:hint="eastAsia" w:ascii="宋体" w:hAnsi="宋体"/>
                <w:color w:val="000000"/>
              </w:rPr>
              <w:t>》要求,重复两次及以上</w:t>
            </w:r>
          </w:p>
        </w:tc>
      </w:tr>
    </w:tbl>
    <w:p>
      <w:pPr>
        <w:jc w:val="left"/>
        <w:rPr>
          <w:kern w:val="0"/>
          <w:szCs w:val="21"/>
        </w:rPr>
      </w:pPr>
      <w:r>
        <w:rPr>
          <w:rFonts w:hint="eastAsia" w:ascii="仿宋" w:hAnsi="仿宋" w:eastAsia="仿宋" w:cs="仿宋"/>
          <w:b/>
          <w:sz w:val="24"/>
          <w:szCs w:val="24"/>
        </w:rPr>
        <w:t>报价须知：</w:t>
      </w:r>
      <w:r>
        <w:rPr>
          <w:rFonts w:hint="eastAsia"/>
          <w:kern w:val="0"/>
          <w:szCs w:val="21"/>
        </w:rPr>
        <w:t>密封报价方应将报价单用结实的、不透明的纸质材料密封包装，并在包装外面清晰地标明中节能固废垃圾报价单。</w:t>
      </w:r>
    </w:p>
    <w:p>
      <w:pPr>
        <w:jc w:val="left"/>
        <w:rPr>
          <w:kern w:val="0"/>
          <w:szCs w:val="21"/>
        </w:rPr>
      </w:pPr>
    </w:p>
    <w:p>
      <w:pPr>
        <w:jc w:val="left"/>
        <w:rPr>
          <w:kern w:val="0"/>
          <w:szCs w:val="21"/>
        </w:rPr>
      </w:pPr>
      <w:r>
        <w:rPr>
          <w:rFonts w:hint="eastAsia"/>
          <w:kern w:val="0"/>
          <w:szCs w:val="21"/>
        </w:rPr>
        <w:t>备注：</w:t>
      </w:r>
    </w:p>
    <w:p>
      <w:pPr>
        <w:spacing w:line="360" w:lineRule="auto"/>
        <w:rPr>
          <w:kern w:val="0"/>
          <w:szCs w:val="21"/>
        </w:rPr>
      </w:pPr>
      <w:r>
        <w:rPr>
          <w:rFonts w:hint="eastAsia"/>
          <w:kern w:val="0"/>
          <w:szCs w:val="21"/>
        </w:rPr>
        <w:t>1、交货地点、方式：</w:t>
      </w:r>
    </w:p>
    <w:p>
      <w:pPr>
        <w:spacing w:line="360" w:lineRule="auto"/>
        <w:ind w:firstLine="420" w:firstLineChars="200"/>
        <w:rPr>
          <w:rFonts w:ascii="宋体" w:hAnsi="宋体"/>
          <w:szCs w:val="21"/>
        </w:rPr>
      </w:pPr>
      <w:r>
        <w:rPr>
          <w:rFonts w:hint="eastAsia"/>
          <w:kern w:val="0"/>
          <w:szCs w:val="21"/>
        </w:rPr>
        <w:t>由投标方在招标方公司内自提，由招标方</w:t>
      </w:r>
      <w:r>
        <w:rPr>
          <w:rFonts w:hint="eastAsia" w:ascii="宋体" w:hAnsi="宋体"/>
          <w:szCs w:val="21"/>
        </w:rPr>
        <w:t>财务部、采购部共同在废品处理记录单中记录废品的数量、金额。</w:t>
      </w:r>
    </w:p>
    <w:p>
      <w:pPr>
        <w:spacing w:line="360" w:lineRule="auto"/>
        <w:rPr>
          <w:rFonts w:ascii="宋体" w:hAnsi="宋体"/>
          <w:szCs w:val="21"/>
        </w:rPr>
      </w:pPr>
      <w:r>
        <w:rPr>
          <w:rFonts w:hint="eastAsia" w:ascii="宋体" w:hAnsi="宋体"/>
          <w:szCs w:val="21"/>
        </w:rPr>
        <w:t>2、付款方式：每次投标方在招标方处提货后，凭废品处理记录单到招标方财务部以现金或电汇方式付款。</w:t>
      </w:r>
    </w:p>
    <w:p>
      <w:pPr>
        <w:spacing w:line="360" w:lineRule="auto"/>
        <w:rPr>
          <w:rFonts w:ascii="宋体" w:hAnsi="宋体"/>
          <w:szCs w:val="21"/>
        </w:rPr>
      </w:pPr>
      <w:r>
        <w:rPr>
          <w:rFonts w:hint="eastAsia" w:ascii="宋体" w:hAnsi="宋体"/>
          <w:szCs w:val="21"/>
        </w:rPr>
        <w:t>3、包装、运输方式：</w:t>
      </w:r>
    </w:p>
    <w:p>
      <w:pPr>
        <w:spacing w:line="360" w:lineRule="auto"/>
        <w:ind w:firstLine="420" w:firstLineChars="200"/>
        <w:rPr>
          <w:rFonts w:ascii="宋体" w:hAnsi="宋体"/>
          <w:szCs w:val="21"/>
        </w:rPr>
      </w:pPr>
      <w:r>
        <w:rPr>
          <w:rFonts w:hint="eastAsia" w:ascii="宋体" w:hAnsi="宋体"/>
          <w:szCs w:val="21"/>
        </w:rPr>
        <w:t>中标方自提货15日内提供各种固废的包装或捆扎方式并书面提供给招标方审核，包装或捆扎方式一旦得到招标方确认，投标方严格按照所提供包装和捆扎方式执行，不得擅自变更。</w:t>
      </w:r>
    </w:p>
    <w:p>
      <w:pPr>
        <w:spacing w:line="360" w:lineRule="auto"/>
        <w:rPr>
          <w:rFonts w:ascii="宋体" w:hAnsi="宋体"/>
          <w:szCs w:val="21"/>
        </w:rPr>
      </w:pPr>
      <w:r>
        <w:rPr>
          <w:rFonts w:hint="eastAsia" w:ascii="宋体" w:hAnsi="宋体"/>
          <w:szCs w:val="21"/>
        </w:rPr>
        <w:t>4、质量及价格：</w:t>
      </w:r>
    </w:p>
    <w:p>
      <w:pPr>
        <w:spacing w:line="360" w:lineRule="auto"/>
        <w:ind w:firstLine="420" w:firstLineChars="200"/>
        <w:rPr>
          <w:rFonts w:ascii="宋体" w:hAnsi="宋体"/>
          <w:szCs w:val="21"/>
        </w:rPr>
      </w:pPr>
      <w:r>
        <w:rPr>
          <w:rFonts w:hint="eastAsia" w:ascii="宋体" w:hAnsi="宋体"/>
          <w:szCs w:val="21"/>
        </w:rPr>
        <w:t>4.1、投标方在付款前自行检查所回收货物的数量、质量及规格等内容，招标方交货后对上述废旧物资不承担任何责任，也不接受任何退换货的要求。</w:t>
      </w:r>
    </w:p>
    <w:p>
      <w:pPr>
        <w:spacing w:line="360" w:lineRule="auto"/>
        <w:ind w:firstLine="420" w:firstLineChars="200"/>
        <w:rPr>
          <w:rFonts w:ascii="宋体" w:hAnsi="宋体"/>
          <w:szCs w:val="21"/>
        </w:rPr>
      </w:pPr>
      <w:r>
        <w:rPr>
          <w:rFonts w:hint="eastAsia" w:ascii="宋体" w:hAnsi="宋体"/>
          <w:szCs w:val="21"/>
        </w:rPr>
        <w:t>4.2、遇价格调整按照市场涨跌幅度作调整，双方协商确认后按新价格执行。</w:t>
      </w:r>
    </w:p>
    <w:p>
      <w:pPr>
        <w:spacing w:line="360" w:lineRule="auto"/>
        <w:ind w:firstLine="420" w:firstLineChars="200"/>
        <w:rPr>
          <w:rFonts w:ascii="宋体" w:hAnsi="宋体"/>
          <w:szCs w:val="21"/>
        </w:rPr>
      </w:pPr>
      <w:r>
        <w:rPr>
          <w:rFonts w:hint="eastAsia" w:ascii="宋体" w:hAnsi="宋体"/>
          <w:szCs w:val="21"/>
        </w:rPr>
        <w:t>4.3、每个月对价格做了解，如涨跌幅度超过10%，即对价格做调整。</w:t>
      </w:r>
    </w:p>
    <w:p>
      <w:pPr>
        <w:spacing w:line="360" w:lineRule="auto"/>
        <w:rPr>
          <w:rFonts w:ascii="宋体" w:hAnsi="宋体"/>
          <w:szCs w:val="21"/>
        </w:rPr>
      </w:pPr>
      <w:r>
        <w:rPr>
          <w:rFonts w:hint="eastAsia" w:ascii="宋体" w:hAnsi="宋体"/>
          <w:szCs w:val="21"/>
        </w:rPr>
        <w:t>5、投标方责任：</w:t>
      </w:r>
    </w:p>
    <w:p>
      <w:pPr>
        <w:spacing w:line="360" w:lineRule="auto"/>
        <w:ind w:firstLine="420" w:firstLineChars="200"/>
        <w:rPr>
          <w:rFonts w:ascii="宋体" w:hAnsi="宋体"/>
          <w:szCs w:val="21"/>
        </w:rPr>
      </w:pPr>
      <w:r>
        <w:rPr>
          <w:rFonts w:hint="eastAsia" w:ascii="宋体" w:hAnsi="宋体"/>
          <w:szCs w:val="21"/>
        </w:rPr>
        <w:t>5.1、投标方知悉所购货物为废旧物资，对该废旧物资的处理，投标方不得违反相关法律法规的规定，因投标方违法处置该废旧物资引起的任何法律责任，由投标方自行承担。</w:t>
      </w:r>
    </w:p>
    <w:p>
      <w:pPr>
        <w:spacing w:line="360" w:lineRule="auto"/>
        <w:ind w:firstLine="420" w:firstLineChars="200"/>
        <w:rPr>
          <w:rFonts w:ascii="宋体" w:hAnsi="宋体"/>
          <w:szCs w:val="21"/>
        </w:rPr>
      </w:pPr>
      <w:r>
        <w:rPr>
          <w:rFonts w:hint="eastAsia" w:ascii="宋体" w:hAnsi="宋体"/>
          <w:szCs w:val="21"/>
        </w:rPr>
        <w:t>5.2、投标方应按招标方要求对招标方的可回收物资定时、定点进行清理、收购，如投标方提供的服务不能满足招标方对投标方要求的，经招标方通知后7天内仍不整改的，招标方可单方解除合同。</w:t>
      </w: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r>
        <w:rPr>
          <w:rFonts w:hint="eastAsia" w:ascii="仿宋" w:hAnsi="仿宋" w:eastAsia="仿宋" w:cs="仿宋"/>
          <w:sz w:val="24"/>
          <w:szCs w:val="24"/>
        </w:rPr>
        <w:t xml:space="preserve">                              </w:t>
      </w:r>
    </w:p>
    <w:p>
      <w:pPr>
        <w:jc w:val="center"/>
        <w:rPr>
          <w:rFonts w:ascii="仿宋" w:hAnsi="仿宋" w:eastAsia="仿宋" w:cs="仿宋"/>
          <w:sz w:val="24"/>
          <w:szCs w:val="24"/>
        </w:rPr>
      </w:pPr>
      <w:r>
        <w:rPr>
          <w:rFonts w:hint="eastAsia" w:ascii="仿宋" w:hAnsi="仿宋" w:eastAsia="仿宋" w:cs="仿宋"/>
          <w:sz w:val="24"/>
          <w:szCs w:val="24"/>
        </w:rPr>
        <w:t xml:space="preserve">                       报价公司名称（</w:t>
      </w:r>
      <w:r>
        <w:rPr>
          <w:rFonts w:hint="eastAsia" w:ascii="仿宋" w:hAnsi="仿宋" w:eastAsia="仿宋" w:cs="仿宋"/>
          <w:b/>
          <w:sz w:val="24"/>
          <w:szCs w:val="24"/>
        </w:rPr>
        <w:t>盖章</w:t>
      </w:r>
      <w:r>
        <w:rPr>
          <w:rFonts w:hint="eastAsia" w:ascii="仿宋" w:hAnsi="仿宋" w:eastAsia="仿宋" w:cs="仿宋"/>
          <w:sz w:val="24"/>
          <w:szCs w:val="24"/>
        </w:rPr>
        <w:t>）：</w:t>
      </w:r>
    </w:p>
    <w:p>
      <w:pPr>
        <w:jc w:val="center"/>
        <w:rPr>
          <w:rFonts w:ascii="仿宋" w:hAnsi="仿宋" w:eastAsia="仿宋" w:cs="仿宋"/>
          <w:sz w:val="24"/>
          <w:szCs w:val="24"/>
        </w:rPr>
      </w:pPr>
      <w:r>
        <w:rPr>
          <w:rFonts w:hint="eastAsia" w:ascii="仿宋" w:hAnsi="仿宋" w:eastAsia="仿宋" w:cs="仿宋"/>
          <w:sz w:val="24"/>
          <w:szCs w:val="24"/>
        </w:rPr>
        <w:t xml:space="preserve">          报价人：</w:t>
      </w:r>
    </w:p>
    <w:p>
      <w:pPr>
        <w:jc w:val="center"/>
        <w:rPr>
          <w:rFonts w:ascii="仿宋" w:hAnsi="仿宋" w:eastAsia="仿宋" w:cs="仿宋"/>
          <w:sz w:val="24"/>
          <w:szCs w:val="24"/>
        </w:rPr>
      </w:pPr>
      <w:r>
        <w:rPr>
          <w:rFonts w:hint="eastAsia" w:ascii="仿宋" w:hAnsi="仿宋" w:eastAsia="仿宋" w:cs="仿宋"/>
          <w:sz w:val="24"/>
          <w:szCs w:val="24"/>
        </w:rPr>
        <w:t xml:space="preserve">            报价日期：</w:t>
      </w:r>
    </w:p>
    <w:p>
      <w:pPr>
        <w:shd w:val="solid" w:color="FFFFFF" w:fill="auto"/>
        <w:autoSpaceDN w:val="0"/>
        <w:jc w:val="left"/>
        <w:rPr>
          <w:rFonts w:ascii="宋体" w:hAnsi="宋体"/>
          <w:sz w:val="24"/>
          <w:szCs w:val="24"/>
        </w:rPr>
      </w:pPr>
    </w:p>
    <w:p>
      <w:pPr>
        <w:tabs>
          <w:tab w:val="left" w:pos="676"/>
        </w:tabs>
        <w:jc w:val="left"/>
        <w:rPr>
          <w:rFonts w:ascii="宋体" w:hAnsi="宋体"/>
          <w:sz w:val="24"/>
          <w:szCs w:val="24"/>
        </w:rPr>
      </w:pPr>
    </w:p>
    <w:p>
      <w:pPr>
        <w:tabs>
          <w:tab w:val="left" w:pos="676"/>
        </w:tabs>
        <w:jc w:val="left"/>
        <w:rPr>
          <w:rFonts w:ascii="宋体" w:hAnsi="宋体"/>
          <w:sz w:val="24"/>
          <w:szCs w:val="24"/>
        </w:rPr>
      </w:pPr>
      <w:r>
        <w:rPr>
          <w:rFonts w:hint="eastAsia" w:ascii="宋体" w:hAnsi="宋体"/>
          <w:sz w:val="24"/>
          <w:szCs w:val="24"/>
        </w:rPr>
        <w:t>附件三：招标方仔细阅读以下《安全协议书》，认可后，盖章作为本次投标报价文件之一。</w:t>
      </w:r>
    </w:p>
    <w:p>
      <w:pPr>
        <w:tabs>
          <w:tab w:val="left" w:pos="676"/>
        </w:tabs>
        <w:jc w:val="left"/>
        <w:rPr>
          <w:rFonts w:ascii="宋体" w:hAnsi="宋体"/>
          <w:sz w:val="24"/>
          <w:szCs w:val="24"/>
        </w:rPr>
      </w:pPr>
    </w:p>
    <w:p>
      <w:pPr>
        <w:spacing w:line="260" w:lineRule="exact"/>
        <w:jc w:val="center"/>
        <w:rPr>
          <w:rFonts w:ascii="宋体" w:hAnsi="宋体"/>
          <w:b/>
          <w:sz w:val="24"/>
          <w:szCs w:val="24"/>
        </w:rPr>
      </w:pPr>
      <w:r>
        <w:rPr>
          <w:rFonts w:hint="eastAsia" w:ascii="宋体" w:hAnsi="宋体"/>
          <w:b/>
          <w:sz w:val="24"/>
          <w:szCs w:val="24"/>
        </w:rPr>
        <w:t>安全管理协议书</w:t>
      </w:r>
    </w:p>
    <w:p>
      <w:pPr>
        <w:spacing w:line="260" w:lineRule="exact"/>
        <w:jc w:val="center"/>
        <w:rPr>
          <w:sz w:val="24"/>
          <w:szCs w:val="24"/>
        </w:rPr>
      </w:pPr>
    </w:p>
    <w:p>
      <w:pPr>
        <w:spacing w:line="260" w:lineRule="exact"/>
        <w:jc w:val="left"/>
        <w:rPr>
          <w:sz w:val="18"/>
          <w:szCs w:val="18"/>
        </w:rPr>
      </w:pPr>
      <w:r>
        <w:rPr>
          <w:rFonts w:hint="eastAsia"/>
          <w:sz w:val="18"/>
          <w:szCs w:val="18"/>
        </w:rPr>
        <w:t>招标方：中节能太阳能科技（镇江）有限公司</w:t>
      </w:r>
    </w:p>
    <w:p>
      <w:pPr>
        <w:spacing w:line="260" w:lineRule="exact"/>
        <w:jc w:val="left"/>
        <w:rPr>
          <w:sz w:val="18"/>
          <w:szCs w:val="18"/>
        </w:rPr>
      </w:pPr>
      <w:r>
        <w:rPr>
          <w:rFonts w:hint="eastAsia"/>
          <w:sz w:val="18"/>
          <w:szCs w:val="18"/>
        </w:rPr>
        <w:t>投标方：</w:t>
      </w:r>
      <w:r>
        <w:rPr>
          <w:sz w:val="18"/>
          <w:szCs w:val="18"/>
        </w:rPr>
        <w:t xml:space="preserve"> </w:t>
      </w:r>
    </w:p>
    <w:p>
      <w:pPr>
        <w:spacing w:line="260" w:lineRule="exact"/>
        <w:jc w:val="left"/>
        <w:rPr>
          <w:sz w:val="18"/>
          <w:szCs w:val="18"/>
        </w:rPr>
      </w:pPr>
    </w:p>
    <w:p>
      <w:pPr>
        <w:spacing w:line="260" w:lineRule="exact"/>
        <w:ind w:firstLine="420"/>
        <w:jc w:val="left"/>
        <w:rPr>
          <w:sz w:val="18"/>
          <w:szCs w:val="18"/>
        </w:rPr>
      </w:pPr>
      <w:r>
        <w:rPr>
          <w:rFonts w:hint="eastAsia"/>
          <w:sz w:val="18"/>
          <w:szCs w:val="18"/>
        </w:rPr>
        <w:t>鉴于投标方因各类业务关系，包括但不限于餐饮、保洁、班车、建筑施工、物流运输、设备设施采购/安装/维修、零部件加工、废弃物处置、广告安装/促销活动等与招标方签订了或正在签订相关业务合同，需按合同约定向招标方提供相应的服务。为明确安全责任并将其落到实处，保证投标方在提供服务的同时，遵守招标方安全管理规定，以保障双方安全，避免给双方造成不必要的损失，根据《中华人民共和国安全生产法》、《中华人民共和国消防法》、《中华人民共和国职业病防治法》、《中华人民共和国食品安全法》以及国家、省、市其他有关的法律、法规的规定要求，双方经友好协商，一致同意达成如下协议并保证严格遵守：</w:t>
      </w:r>
    </w:p>
    <w:p>
      <w:pPr>
        <w:pStyle w:val="17"/>
        <w:numPr>
          <w:ilvl w:val="0"/>
          <w:numId w:val="2"/>
        </w:numPr>
        <w:spacing w:line="260" w:lineRule="exact"/>
        <w:ind w:firstLineChars="0"/>
        <w:jc w:val="left"/>
        <w:rPr>
          <w:sz w:val="18"/>
          <w:szCs w:val="18"/>
        </w:rPr>
      </w:pPr>
      <w:r>
        <w:rPr>
          <w:rFonts w:hint="eastAsia"/>
          <w:sz w:val="18"/>
          <w:szCs w:val="18"/>
        </w:rPr>
        <w:t>招标方的安全责任：</w:t>
      </w:r>
    </w:p>
    <w:p>
      <w:pPr>
        <w:pStyle w:val="17"/>
        <w:numPr>
          <w:ilvl w:val="0"/>
          <w:numId w:val="3"/>
        </w:numPr>
        <w:spacing w:line="260" w:lineRule="exact"/>
        <w:ind w:firstLineChars="0"/>
        <w:jc w:val="left"/>
        <w:rPr>
          <w:sz w:val="18"/>
          <w:szCs w:val="18"/>
        </w:rPr>
      </w:pPr>
      <w:r>
        <w:rPr>
          <w:rFonts w:hint="eastAsia"/>
          <w:sz w:val="18"/>
          <w:szCs w:val="18"/>
        </w:rPr>
        <w:t>对投标方在管辖范围内所实施行为的安全性给予监督和检查，保证良好的安全工作秩序和工作环境。</w:t>
      </w:r>
    </w:p>
    <w:p>
      <w:pPr>
        <w:pStyle w:val="17"/>
        <w:numPr>
          <w:ilvl w:val="0"/>
          <w:numId w:val="3"/>
        </w:numPr>
        <w:spacing w:line="260" w:lineRule="exact"/>
        <w:ind w:firstLineChars="0"/>
        <w:jc w:val="left"/>
        <w:rPr>
          <w:sz w:val="18"/>
          <w:szCs w:val="18"/>
        </w:rPr>
      </w:pPr>
      <w:r>
        <w:rPr>
          <w:rFonts w:hint="eastAsia"/>
          <w:sz w:val="18"/>
          <w:szCs w:val="18"/>
        </w:rPr>
        <w:t>对投标方不符合安全要求或不遵守安全管理规定的行为，招标方人员有权给予制止、处理及处罚，并通知投标方限期整改。</w:t>
      </w:r>
    </w:p>
    <w:p>
      <w:pPr>
        <w:pStyle w:val="17"/>
        <w:numPr>
          <w:ilvl w:val="0"/>
          <w:numId w:val="3"/>
        </w:numPr>
        <w:spacing w:line="260" w:lineRule="exact"/>
        <w:ind w:firstLineChars="0"/>
        <w:jc w:val="left"/>
        <w:rPr>
          <w:sz w:val="18"/>
          <w:szCs w:val="18"/>
        </w:rPr>
      </w:pPr>
      <w:r>
        <w:rPr>
          <w:rFonts w:hint="eastAsia"/>
          <w:sz w:val="18"/>
          <w:szCs w:val="18"/>
        </w:rPr>
        <w:t>对投标方严重违反安全管理规定，造成不良影响或损失的，招标方有权要求相关部门取消投标方合作资格并给予经济处罚。</w:t>
      </w:r>
    </w:p>
    <w:p>
      <w:pPr>
        <w:pStyle w:val="17"/>
        <w:numPr>
          <w:ilvl w:val="0"/>
          <w:numId w:val="3"/>
        </w:numPr>
        <w:spacing w:line="260" w:lineRule="exact"/>
        <w:ind w:firstLineChars="0"/>
        <w:jc w:val="left"/>
        <w:rPr>
          <w:sz w:val="18"/>
          <w:szCs w:val="18"/>
        </w:rPr>
      </w:pPr>
      <w:r>
        <w:rPr>
          <w:rFonts w:hint="eastAsia"/>
          <w:sz w:val="18"/>
          <w:szCs w:val="18"/>
        </w:rPr>
        <w:t>对投标方在招标方范围内出现的安全事故/事件协助投标方给予协调处理。</w:t>
      </w:r>
    </w:p>
    <w:p>
      <w:pPr>
        <w:pStyle w:val="17"/>
        <w:numPr>
          <w:ilvl w:val="0"/>
          <w:numId w:val="2"/>
        </w:numPr>
        <w:spacing w:line="260" w:lineRule="exact"/>
        <w:ind w:firstLineChars="0"/>
        <w:jc w:val="left"/>
        <w:rPr>
          <w:sz w:val="18"/>
          <w:szCs w:val="18"/>
        </w:rPr>
      </w:pPr>
      <w:r>
        <w:rPr>
          <w:rFonts w:hint="eastAsia"/>
          <w:sz w:val="18"/>
          <w:szCs w:val="18"/>
        </w:rPr>
        <w:t>投标方的安全责任：</w:t>
      </w:r>
    </w:p>
    <w:p>
      <w:pPr>
        <w:pStyle w:val="17"/>
        <w:numPr>
          <w:ilvl w:val="0"/>
          <w:numId w:val="4"/>
        </w:numPr>
        <w:spacing w:line="260" w:lineRule="exact"/>
        <w:ind w:firstLineChars="0"/>
        <w:jc w:val="left"/>
        <w:rPr>
          <w:sz w:val="18"/>
          <w:szCs w:val="18"/>
        </w:rPr>
      </w:pPr>
      <w:r>
        <w:rPr>
          <w:rFonts w:hint="eastAsia"/>
          <w:sz w:val="18"/>
          <w:szCs w:val="18"/>
        </w:rPr>
        <w:t>投标方是废弃物处置中生产安全、消防安全、治安安全、车辆交通安全及食品卫生安全等责任方，必须遵守国家、省、市现行安全法律法规，对违反安全规定所造成的所有安全事故由投标方承担全部责任，并承担由此造成的一切经济损失；如造成招标方员工人身伤害和企业财产损失由投标方给予赔偿和处理。</w:t>
      </w:r>
    </w:p>
    <w:p>
      <w:pPr>
        <w:pStyle w:val="17"/>
        <w:numPr>
          <w:ilvl w:val="0"/>
          <w:numId w:val="4"/>
        </w:numPr>
        <w:spacing w:line="260" w:lineRule="exact"/>
        <w:ind w:firstLineChars="0"/>
        <w:jc w:val="left"/>
        <w:rPr>
          <w:sz w:val="18"/>
          <w:szCs w:val="18"/>
        </w:rPr>
      </w:pPr>
      <w:r>
        <w:rPr>
          <w:rFonts w:hint="eastAsia"/>
          <w:sz w:val="18"/>
          <w:szCs w:val="18"/>
        </w:rPr>
        <w:t>投标方必须提供的安全保障措施：</w:t>
      </w:r>
    </w:p>
    <w:p>
      <w:pPr>
        <w:spacing w:line="260" w:lineRule="exact"/>
        <w:ind w:firstLine="405"/>
        <w:jc w:val="left"/>
        <w:rPr>
          <w:sz w:val="18"/>
          <w:szCs w:val="18"/>
        </w:rPr>
      </w:pPr>
      <w:r>
        <w:rPr>
          <w:rFonts w:hint="eastAsia"/>
          <w:sz w:val="18"/>
          <w:szCs w:val="18"/>
        </w:rPr>
        <w:t>2.1 投标方内部应建立健全安全消防等管理制度，建立安全保障体系。</w:t>
      </w:r>
    </w:p>
    <w:p>
      <w:pPr>
        <w:spacing w:line="260" w:lineRule="exact"/>
        <w:ind w:firstLine="405"/>
        <w:jc w:val="left"/>
        <w:rPr>
          <w:sz w:val="18"/>
          <w:szCs w:val="18"/>
        </w:rPr>
      </w:pPr>
      <w:r>
        <w:rPr>
          <w:rFonts w:hint="eastAsia"/>
          <w:sz w:val="18"/>
          <w:szCs w:val="18"/>
        </w:rPr>
        <w:t>2.2 投标方为招标方提供的废弃物处置规范等必须符合安全要求。</w:t>
      </w:r>
    </w:p>
    <w:p>
      <w:pPr>
        <w:spacing w:line="260" w:lineRule="exact"/>
        <w:ind w:firstLine="405"/>
        <w:jc w:val="left"/>
        <w:rPr>
          <w:sz w:val="18"/>
          <w:szCs w:val="18"/>
        </w:rPr>
      </w:pPr>
      <w:r>
        <w:rPr>
          <w:rFonts w:hint="eastAsia"/>
          <w:sz w:val="18"/>
          <w:szCs w:val="18"/>
        </w:rPr>
        <w:t>2.3 投标方为招标方废弃物处置期间必须按国家安全标准要求配置相关的安全消防设施，使用的设备设施（包括消防设施/用电设施/设备安全防护措施/劳动防护用品等等）必须保证符合国家安全消防标准要求，并应定期检查/维护/保养等，相关费用由投标方负责。</w:t>
      </w:r>
    </w:p>
    <w:p>
      <w:pPr>
        <w:spacing w:line="260" w:lineRule="exact"/>
        <w:ind w:firstLine="405"/>
        <w:jc w:val="left"/>
        <w:rPr>
          <w:sz w:val="18"/>
          <w:szCs w:val="18"/>
        </w:rPr>
      </w:pPr>
      <w:r>
        <w:rPr>
          <w:rFonts w:hint="eastAsia"/>
          <w:sz w:val="18"/>
          <w:szCs w:val="18"/>
        </w:rPr>
        <w:t>3、投标方必须遵守招标方的一切安全规章制度和安保人员的监督管理，具体要求如下：</w:t>
      </w:r>
    </w:p>
    <w:p>
      <w:pPr>
        <w:spacing w:line="260" w:lineRule="exact"/>
        <w:ind w:firstLine="405"/>
        <w:jc w:val="left"/>
        <w:rPr>
          <w:sz w:val="18"/>
          <w:szCs w:val="18"/>
        </w:rPr>
      </w:pPr>
      <w:r>
        <w:rPr>
          <w:rFonts w:hint="eastAsia"/>
          <w:sz w:val="18"/>
          <w:szCs w:val="18"/>
        </w:rPr>
        <w:t>3.1 人员安全教育</w:t>
      </w:r>
    </w:p>
    <w:p>
      <w:pPr>
        <w:spacing w:line="260" w:lineRule="exact"/>
        <w:ind w:firstLine="405"/>
        <w:jc w:val="left"/>
        <w:rPr>
          <w:sz w:val="18"/>
          <w:szCs w:val="18"/>
        </w:rPr>
      </w:pPr>
      <w:r>
        <w:rPr>
          <w:rFonts w:hint="eastAsia"/>
          <w:sz w:val="18"/>
          <w:szCs w:val="18"/>
        </w:rPr>
        <w:t>3.1.1 投标方人员在派入招标方工作前必须经过三级安全培训，持证上岗，杜绝违章作业。</w:t>
      </w:r>
    </w:p>
    <w:p>
      <w:pPr>
        <w:spacing w:line="260" w:lineRule="exact"/>
        <w:ind w:firstLine="405"/>
        <w:jc w:val="left"/>
        <w:rPr>
          <w:sz w:val="18"/>
          <w:szCs w:val="18"/>
        </w:rPr>
      </w:pPr>
      <w:r>
        <w:rPr>
          <w:rFonts w:hint="eastAsia"/>
          <w:sz w:val="18"/>
          <w:szCs w:val="18"/>
        </w:rPr>
        <w:t>3.1.2 投标方从事特殊工种和危险作业的人员必须经过专业培训，同时应定期组织安全教育与检查。</w:t>
      </w:r>
    </w:p>
    <w:p>
      <w:pPr>
        <w:spacing w:line="260" w:lineRule="exact"/>
        <w:ind w:firstLine="405"/>
        <w:jc w:val="left"/>
        <w:rPr>
          <w:sz w:val="18"/>
          <w:szCs w:val="18"/>
        </w:rPr>
      </w:pPr>
      <w:r>
        <w:rPr>
          <w:rFonts w:hint="eastAsia"/>
          <w:sz w:val="18"/>
          <w:szCs w:val="18"/>
        </w:rPr>
        <w:t>3.1.3 投标方进入招标方前必须对职工进行安全培训，遵守招标方的安全规定和要求。</w:t>
      </w:r>
    </w:p>
    <w:p>
      <w:pPr>
        <w:spacing w:line="260" w:lineRule="exact"/>
        <w:ind w:firstLine="405"/>
        <w:jc w:val="left"/>
        <w:rPr>
          <w:sz w:val="18"/>
          <w:szCs w:val="18"/>
        </w:rPr>
      </w:pPr>
      <w:r>
        <w:rPr>
          <w:rFonts w:hint="eastAsia"/>
          <w:sz w:val="18"/>
          <w:szCs w:val="18"/>
        </w:rPr>
        <w:t>3.1.4 投标方保证进入招标方的人员，必须着装整洁、严禁穿拖鞋或赤身裸体。</w:t>
      </w:r>
    </w:p>
    <w:p>
      <w:pPr>
        <w:spacing w:line="260" w:lineRule="exact"/>
        <w:ind w:firstLine="405"/>
        <w:jc w:val="left"/>
        <w:rPr>
          <w:sz w:val="18"/>
          <w:szCs w:val="18"/>
        </w:rPr>
      </w:pPr>
      <w:r>
        <w:rPr>
          <w:rFonts w:hint="eastAsia"/>
          <w:sz w:val="18"/>
          <w:szCs w:val="18"/>
        </w:rPr>
        <w:t>3.1.5 投标方人员严禁酒后进入招标方。</w:t>
      </w:r>
    </w:p>
    <w:p>
      <w:pPr>
        <w:spacing w:line="260" w:lineRule="exact"/>
        <w:ind w:firstLine="405"/>
        <w:jc w:val="left"/>
        <w:rPr>
          <w:sz w:val="18"/>
          <w:szCs w:val="18"/>
        </w:rPr>
      </w:pPr>
      <w:r>
        <w:rPr>
          <w:rFonts w:hint="eastAsia"/>
          <w:sz w:val="18"/>
          <w:szCs w:val="18"/>
        </w:rPr>
        <w:t>3.1.6 投标方保证进入招标方的人员必须保持良好的形象和精神面貌，闲暇时间不得在区域内蹲、坐、卧、大声喧哗、睡觉或到与工作无关的区域内逗留。</w:t>
      </w:r>
    </w:p>
    <w:p>
      <w:pPr>
        <w:spacing w:line="260" w:lineRule="exact"/>
        <w:ind w:firstLine="405"/>
        <w:jc w:val="left"/>
        <w:rPr>
          <w:sz w:val="18"/>
          <w:szCs w:val="18"/>
        </w:rPr>
      </w:pPr>
      <w:r>
        <w:rPr>
          <w:rFonts w:hint="eastAsia"/>
          <w:sz w:val="18"/>
          <w:szCs w:val="18"/>
        </w:rPr>
        <w:t>3.2 办理登记手续</w:t>
      </w:r>
    </w:p>
    <w:p>
      <w:pPr>
        <w:spacing w:line="260" w:lineRule="exact"/>
        <w:ind w:firstLine="405"/>
        <w:jc w:val="left"/>
        <w:rPr>
          <w:sz w:val="18"/>
          <w:szCs w:val="18"/>
        </w:rPr>
      </w:pPr>
      <w:r>
        <w:rPr>
          <w:rFonts w:hint="eastAsia"/>
          <w:sz w:val="18"/>
          <w:szCs w:val="18"/>
        </w:rPr>
        <w:t>3.2.1 投标方长期在招标方的人员，由投标方负责人持身份证或介绍信到招标方安监部办理人员出入证，否则投标方人员不得进入。</w:t>
      </w:r>
    </w:p>
    <w:p>
      <w:pPr>
        <w:spacing w:line="260" w:lineRule="exact"/>
        <w:ind w:firstLine="405"/>
        <w:jc w:val="left"/>
        <w:rPr>
          <w:sz w:val="18"/>
          <w:szCs w:val="18"/>
        </w:rPr>
      </w:pPr>
      <w:r>
        <w:rPr>
          <w:rFonts w:hint="eastAsia"/>
          <w:sz w:val="18"/>
          <w:szCs w:val="18"/>
        </w:rPr>
        <w:t>3.2.2 投标方人员出入证限每人一证，不得乱戴，每证交押金50元。</w:t>
      </w:r>
    </w:p>
    <w:p>
      <w:pPr>
        <w:spacing w:line="260" w:lineRule="exact"/>
        <w:ind w:firstLine="405"/>
        <w:jc w:val="left"/>
        <w:rPr>
          <w:sz w:val="18"/>
          <w:szCs w:val="18"/>
        </w:rPr>
      </w:pPr>
      <w:r>
        <w:rPr>
          <w:rFonts w:hint="eastAsia"/>
          <w:sz w:val="18"/>
          <w:szCs w:val="18"/>
        </w:rPr>
        <w:t>3.2.3 投标方人员在进入招标方时，必须将出入证佩戴胸前，随时接受招标方安保人员的检查，不戴证的视为闲散人员给予清退。</w:t>
      </w:r>
    </w:p>
    <w:p>
      <w:pPr>
        <w:spacing w:line="260" w:lineRule="exact"/>
        <w:ind w:firstLine="405"/>
        <w:jc w:val="left"/>
        <w:rPr>
          <w:sz w:val="18"/>
          <w:szCs w:val="18"/>
        </w:rPr>
      </w:pPr>
      <w:r>
        <w:rPr>
          <w:rFonts w:hint="eastAsia"/>
          <w:sz w:val="18"/>
          <w:szCs w:val="18"/>
        </w:rPr>
        <w:t>3.2.4 投标方临时来招标方办理业务的人员必须到门卫室办理登记手续并电话联系，确认办理出入证后方可进入。</w:t>
      </w:r>
    </w:p>
    <w:p>
      <w:pPr>
        <w:spacing w:line="260" w:lineRule="exact"/>
        <w:ind w:firstLine="405"/>
        <w:jc w:val="left"/>
        <w:rPr>
          <w:sz w:val="18"/>
          <w:szCs w:val="18"/>
        </w:rPr>
      </w:pPr>
      <w:r>
        <w:rPr>
          <w:rFonts w:hint="eastAsia"/>
          <w:sz w:val="18"/>
          <w:szCs w:val="18"/>
        </w:rPr>
        <w:t>3.2.5 投标方因工作需要携带易燃易爆品进入招标方区域必须经值班保安许可并办理登记手续。</w:t>
      </w:r>
    </w:p>
    <w:p>
      <w:pPr>
        <w:spacing w:line="260" w:lineRule="exact"/>
        <w:ind w:firstLine="405"/>
        <w:jc w:val="left"/>
        <w:rPr>
          <w:sz w:val="18"/>
          <w:szCs w:val="18"/>
        </w:rPr>
      </w:pPr>
      <w:r>
        <w:rPr>
          <w:rFonts w:hint="eastAsia"/>
          <w:sz w:val="18"/>
          <w:szCs w:val="18"/>
        </w:rPr>
        <w:t>3.3 车辆安全行驶</w:t>
      </w:r>
    </w:p>
    <w:p>
      <w:pPr>
        <w:spacing w:line="260" w:lineRule="exact"/>
        <w:ind w:firstLine="405"/>
        <w:jc w:val="left"/>
        <w:rPr>
          <w:sz w:val="18"/>
          <w:szCs w:val="18"/>
        </w:rPr>
      </w:pPr>
      <w:r>
        <w:rPr>
          <w:rFonts w:hint="eastAsia"/>
          <w:sz w:val="18"/>
          <w:szCs w:val="18"/>
        </w:rPr>
        <w:t>3.3.1 投标方车辆进入招标方必须按照交通规则和厂区安全标志安全行驶，不准高鸣喇叭、超速行驶、乱道行驶等。</w:t>
      </w:r>
    </w:p>
    <w:p>
      <w:pPr>
        <w:spacing w:line="260" w:lineRule="exact"/>
        <w:ind w:firstLine="405"/>
        <w:jc w:val="left"/>
        <w:rPr>
          <w:sz w:val="18"/>
          <w:szCs w:val="18"/>
        </w:rPr>
      </w:pPr>
      <w:r>
        <w:rPr>
          <w:rFonts w:hint="eastAsia"/>
          <w:sz w:val="18"/>
          <w:szCs w:val="18"/>
        </w:rPr>
        <w:t>3.3.2 投标方车辆未经招标方事先批准不得在厂区内过夜停放。</w:t>
      </w:r>
    </w:p>
    <w:p>
      <w:pPr>
        <w:spacing w:line="260" w:lineRule="exact"/>
        <w:ind w:firstLine="405"/>
        <w:jc w:val="left"/>
        <w:rPr>
          <w:sz w:val="18"/>
          <w:szCs w:val="18"/>
        </w:rPr>
      </w:pPr>
      <w:r>
        <w:rPr>
          <w:rFonts w:hint="eastAsia"/>
          <w:sz w:val="18"/>
          <w:szCs w:val="18"/>
        </w:rPr>
        <w:t>3.3.3 投标方车辆进入厂区必须听从保安的管理和指挥，驾驶员应主动接受检查，进入物资登记清晰。</w:t>
      </w:r>
    </w:p>
    <w:p>
      <w:pPr>
        <w:spacing w:line="260" w:lineRule="exact"/>
        <w:ind w:firstLine="405"/>
        <w:jc w:val="left"/>
        <w:rPr>
          <w:sz w:val="18"/>
          <w:szCs w:val="18"/>
        </w:rPr>
      </w:pPr>
      <w:r>
        <w:rPr>
          <w:rFonts w:hint="eastAsia"/>
          <w:sz w:val="18"/>
          <w:szCs w:val="18"/>
        </w:rPr>
        <w:t>3.4 现场安全施工</w:t>
      </w:r>
    </w:p>
    <w:p>
      <w:pPr>
        <w:spacing w:line="260" w:lineRule="exact"/>
        <w:ind w:firstLine="405"/>
        <w:jc w:val="left"/>
        <w:rPr>
          <w:sz w:val="18"/>
          <w:szCs w:val="18"/>
        </w:rPr>
      </w:pPr>
      <w:r>
        <w:rPr>
          <w:rFonts w:hint="eastAsia"/>
          <w:sz w:val="18"/>
          <w:szCs w:val="18"/>
        </w:rPr>
        <w:t>3.4.1投标方施工人员进入招标方必须由施工负责人到工程部办理施工许可证，否则不准进厂施工。</w:t>
      </w:r>
    </w:p>
    <w:p>
      <w:pPr>
        <w:spacing w:line="260" w:lineRule="exact"/>
        <w:ind w:firstLine="405"/>
        <w:jc w:val="left"/>
        <w:rPr>
          <w:sz w:val="18"/>
          <w:szCs w:val="18"/>
        </w:rPr>
      </w:pPr>
      <w:r>
        <w:rPr>
          <w:rFonts w:hint="eastAsia"/>
          <w:sz w:val="18"/>
          <w:szCs w:val="18"/>
        </w:rPr>
        <w:t>3.4.2投标方施工过程中需要进行危险作业的，应与对接部门联系，向安监部申请办理危险作业许可证，总包项目建设，由工程部办理。</w:t>
      </w:r>
    </w:p>
    <w:p>
      <w:pPr>
        <w:spacing w:line="260" w:lineRule="exact"/>
        <w:ind w:firstLine="405"/>
        <w:jc w:val="left"/>
        <w:rPr>
          <w:sz w:val="18"/>
          <w:szCs w:val="18"/>
        </w:rPr>
      </w:pPr>
      <w:r>
        <w:rPr>
          <w:rFonts w:hint="eastAsia"/>
          <w:sz w:val="18"/>
          <w:szCs w:val="18"/>
        </w:rPr>
        <w:t>3.4.3投标方办理施工许可证，交押金500元；办理危险作业许可证，交押金100元；如未经许可私自进行危险作业罚款2000元，引起火灾，按《消防法》追究责任。</w:t>
      </w:r>
    </w:p>
    <w:p>
      <w:pPr>
        <w:spacing w:line="260" w:lineRule="exact"/>
        <w:ind w:firstLine="405"/>
        <w:jc w:val="left"/>
        <w:rPr>
          <w:sz w:val="18"/>
          <w:szCs w:val="18"/>
        </w:rPr>
      </w:pPr>
      <w:r>
        <w:rPr>
          <w:rFonts w:hint="eastAsia"/>
          <w:sz w:val="18"/>
          <w:szCs w:val="18"/>
        </w:rPr>
        <w:t>3.4.4投标方进入招标方时，将所有施工工具和材料等物品列清明细单，交安监部，以保证进出厂或完工退厂时查验，清单外的物品不得带出公司（除施工垃圾）。</w:t>
      </w:r>
    </w:p>
    <w:p>
      <w:pPr>
        <w:spacing w:line="260" w:lineRule="exact"/>
        <w:ind w:firstLine="405"/>
        <w:jc w:val="left"/>
        <w:rPr>
          <w:sz w:val="18"/>
          <w:szCs w:val="18"/>
        </w:rPr>
      </w:pPr>
      <w:r>
        <w:rPr>
          <w:rFonts w:hint="eastAsia"/>
          <w:sz w:val="18"/>
          <w:szCs w:val="18"/>
        </w:rPr>
        <w:t>3.4.5投标方人员必须认真学习招标方职业安全健康方针和环境方针，并认真执行。</w:t>
      </w:r>
    </w:p>
    <w:p>
      <w:pPr>
        <w:spacing w:line="260" w:lineRule="exact"/>
        <w:ind w:firstLine="405"/>
        <w:jc w:val="left"/>
        <w:rPr>
          <w:sz w:val="18"/>
          <w:szCs w:val="18"/>
        </w:rPr>
      </w:pPr>
      <w:r>
        <w:rPr>
          <w:rFonts w:hint="eastAsia"/>
          <w:sz w:val="18"/>
          <w:szCs w:val="18"/>
        </w:rPr>
        <w:t>3.4.6投标方施工中，如遇到可能对周围大气、土地、人员等造成危害的，必须提前一天报招标方，经批准后方可施工。</w:t>
      </w:r>
    </w:p>
    <w:p>
      <w:pPr>
        <w:spacing w:line="260" w:lineRule="exact"/>
        <w:ind w:firstLine="405"/>
        <w:jc w:val="left"/>
        <w:rPr>
          <w:sz w:val="18"/>
          <w:szCs w:val="18"/>
        </w:rPr>
      </w:pPr>
      <w:r>
        <w:rPr>
          <w:rFonts w:hint="eastAsia"/>
          <w:sz w:val="18"/>
          <w:szCs w:val="18"/>
        </w:rPr>
        <w:t>3.4.7投标方施工现场必须保持清洁卫生，工具材料摆放整齐，做到文明施工。</w:t>
      </w:r>
    </w:p>
    <w:p>
      <w:pPr>
        <w:spacing w:line="260" w:lineRule="exact"/>
        <w:ind w:firstLine="405"/>
        <w:jc w:val="left"/>
        <w:rPr>
          <w:sz w:val="18"/>
          <w:szCs w:val="18"/>
        </w:rPr>
      </w:pPr>
      <w:r>
        <w:rPr>
          <w:rFonts w:hint="eastAsia"/>
          <w:sz w:val="18"/>
          <w:szCs w:val="18"/>
        </w:rPr>
        <w:t>3.4.8未经书面同意，投标方保证施工过程中任何人不得动用、乱动施工区域设备、设施及其他物品。</w:t>
      </w:r>
    </w:p>
    <w:p>
      <w:pPr>
        <w:spacing w:line="260" w:lineRule="exact"/>
        <w:ind w:firstLine="405"/>
        <w:jc w:val="left"/>
        <w:rPr>
          <w:sz w:val="18"/>
          <w:szCs w:val="18"/>
        </w:rPr>
      </w:pPr>
      <w:r>
        <w:rPr>
          <w:rFonts w:hint="eastAsia"/>
          <w:sz w:val="18"/>
          <w:szCs w:val="18"/>
        </w:rPr>
        <w:t>3.4.9进行危险作业，必须遵守招标方管理规定，投标方现场必须有专人监护，保证现场采取有效的保护措施。</w:t>
      </w:r>
    </w:p>
    <w:p>
      <w:pPr>
        <w:spacing w:line="260" w:lineRule="exact"/>
        <w:ind w:firstLine="405"/>
        <w:jc w:val="left"/>
        <w:rPr>
          <w:sz w:val="18"/>
          <w:szCs w:val="18"/>
        </w:rPr>
      </w:pPr>
      <w:r>
        <w:rPr>
          <w:rFonts w:hint="eastAsia"/>
          <w:sz w:val="18"/>
          <w:szCs w:val="18"/>
        </w:rPr>
        <w:t>3.4.10投标方施工使用的氧气瓶、乙炔瓶、液化气、汽油等可燃、易爆、化学物品必须符合安全要求，各种仪器可靠。</w:t>
      </w:r>
    </w:p>
    <w:p>
      <w:pPr>
        <w:spacing w:line="260" w:lineRule="exact"/>
        <w:ind w:firstLine="405"/>
        <w:jc w:val="left"/>
        <w:rPr>
          <w:sz w:val="18"/>
          <w:szCs w:val="18"/>
        </w:rPr>
      </w:pPr>
      <w:r>
        <w:rPr>
          <w:rFonts w:hint="eastAsia"/>
          <w:sz w:val="18"/>
          <w:szCs w:val="18"/>
        </w:rPr>
        <w:t>3.4.11投标方必须按照规定的要求时间施工作业，投标方如果在班后需加班，必须由项目负责人向招标方工程部申请，并派人现场监护。</w:t>
      </w:r>
    </w:p>
    <w:p>
      <w:pPr>
        <w:spacing w:line="260" w:lineRule="exact"/>
        <w:ind w:firstLine="405"/>
        <w:jc w:val="left"/>
        <w:rPr>
          <w:sz w:val="18"/>
          <w:szCs w:val="18"/>
        </w:rPr>
      </w:pPr>
      <w:r>
        <w:rPr>
          <w:rFonts w:hint="eastAsia"/>
          <w:sz w:val="18"/>
          <w:szCs w:val="18"/>
        </w:rPr>
        <w:t>3.4.12投标方施工结束后，立即到工程部办理退施工许可证等手续。</w:t>
      </w:r>
    </w:p>
    <w:p>
      <w:pPr>
        <w:spacing w:line="260" w:lineRule="exact"/>
        <w:ind w:firstLine="405"/>
        <w:jc w:val="left"/>
        <w:rPr>
          <w:sz w:val="18"/>
          <w:szCs w:val="18"/>
        </w:rPr>
      </w:pPr>
      <w:r>
        <w:rPr>
          <w:rFonts w:hint="eastAsia"/>
          <w:sz w:val="18"/>
          <w:szCs w:val="18"/>
        </w:rPr>
        <w:t>3.4.13投标方保证施工结束后，立即清理现场，达到安全整洁标准。</w:t>
      </w:r>
    </w:p>
    <w:p>
      <w:pPr>
        <w:spacing w:line="260" w:lineRule="exact"/>
        <w:ind w:firstLine="405"/>
        <w:jc w:val="left"/>
        <w:rPr>
          <w:sz w:val="18"/>
          <w:szCs w:val="18"/>
        </w:rPr>
      </w:pPr>
      <w:r>
        <w:rPr>
          <w:rFonts w:hint="eastAsia"/>
          <w:sz w:val="18"/>
          <w:szCs w:val="18"/>
        </w:rPr>
        <w:t>3.4.14投标方保证在施工结束后，将所携带的工具、剩余施工材料，特别是易燃易爆物品，全部清理干净，并带离招标方区域，否则招标方安保人员有权处理。</w:t>
      </w:r>
    </w:p>
    <w:p>
      <w:pPr>
        <w:spacing w:line="260" w:lineRule="exact"/>
        <w:ind w:firstLine="405"/>
        <w:jc w:val="left"/>
        <w:rPr>
          <w:sz w:val="18"/>
          <w:szCs w:val="18"/>
        </w:rPr>
      </w:pPr>
      <w:r>
        <w:rPr>
          <w:rFonts w:hint="eastAsia"/>
          <w:sz w:val="18"/>
          <w:szCs w:val="18"/>
        </w:rPr>
        <w:t>3.5大型项目及危险作业安全管理</w:t>
      </w:r>
    </w:p>
    <w:p>
      <w:pPr>
        <w:spacing w:line="260" w:lineRule="exact"/>
        <w:ind w:firstLine="405"/>
        <w:jc w:val="left"/>
        <w:rPr>
          <w:sz w:val="18"/>
          <w:szCs w:val="18"/>
        </w:rPr>
      </w:pPr>
      <w:r>
        <w:rPr>
          <w:rFonts w:hint="eastAsia"/>
          <w:sz w:val="18"/>
          <w:szCs w:val="18"/>
        </w:rPr>
        <w:t>3.5.1大型项目或危险作业前必须制定安全措施，落实应急预案，并对人员进行安全培训。</w:t>
      </w:r>
    </w:p>
    <w:p>
      <w:pPr>
        <w:spacing w:line="260" w:lineRule="exact"/>
        <w:ind w:firstLine="405"/>
        <w:jc w:val="left"/>
        <w:rPr>
          <w:sz w:val="18"/>
          <w:szCs w:val="18"/>
        </w:rPr>
      </w:pPr>
      <w:r>
        <w:rPr>
          <w:rFonts w:hint="eastAsia"/>
          <w:sz w:val="18"/>
          <w:szCs w:val="18"/>
        </w:rPr>
        <w:t xml:space="preserve">  三、责任赔偿</w:t>
      </w:r>
    </w:p>
    <w:p>
      <w:pPr>
        <w:spacing w:line="260" w:lineRule="exact"/>
        <w:ind w:firstLine="405"/>
        <w:jc w:val="left"/>
        <w:rPr>
          <w:sz w:val="18"/>
          <w:szCs w:val="18"/>
        </w:rPr>
      </w:pPr>
      <w:r>
        <w:rPr>
          <w:rFonts w:hint="eastAsia"/>
          <w:sz w:val="18"/>
          <w:szCs w:val="18"/>
        </w:rPr>
        <w:t>1.对投标方在招标方范围内违反安全管理规定造成的安全隐患，招标方有权依据相关安全管理规定对投标方进行处罚，处罚金额从保证金中直接扣除或投标方直接交付。</w:t>
      </w:r>
    </w:p>
    <w:p>
      <w:pPr>
        <w:spacing w:line="260" w:lineRule="exact"/>
        <w:ind w:firstLine="405"/>
        <w:jc w:val="left"/>
        <w:rPr>
          <w:sz w:val="18"/>
          <w:szCs w:val="18"/>
        </w:rPr>
      </w:pPr>
      <w:r>
        <w:rPr>
          <w:rFonts w:hint="eastAsia"/>
          <w:sz w:val="18"/>
          <w:szCs w:val="18"/>
        </w:rPr>
        <w:t>2.投标方因违反安全规定，必须立即停止作业/施工或业务的开展组织进行整改，整改过程中所发生的一切费用、损失由投标方承担。</w:t>
      </w:r>
    </w:p>
    <w:p>
      <w:pPr>
        <w:spacing w:line="260" w:lineRule="exact"/>
        <w:ind w:firstLine="405"/>
        <w:jc w:val="left"/>
        <w:rPr>
          <w:sz w:val="18"/>
          <w:szCs w:val="18"/>
        </w:rPr>
      </w:pPr>
      <w:r>
        <w:rPr>
          <w:rFonts w:hint="eastAsia"/>
          <w:sz w:val="18"/>
          <w:szCs w:val="18"/>
        </w:rPr>
        <w:t>3.由于投标方废弃物处置过程造成的安全事故，投标方承担全部责任和经济损失的赔偿；造成招标方员工人身伤害和企业财产损失由投标方给予赔偿和处理。</w:t>
      </w:r>
    </w:p>
    <w:p>
      <w:pPr>
        <w:spacing w:line="260" w:lineRule="exact"/>
        <w:ind w:firstLine="405"/>
        <w:jc w:val="left"/>
        <w:rPr>
          <w:sz w:val="18"/>
          <w:szCs w:val="18"/>
        </w:rPr>
      </w:pPr>
      <w:r>
        <w:rPr>
          <w:rFonts w:hint="eastAsia"/>
          <w:sz w:val="18"/>
          <w:szCs w:val="18"/>
        </w:rPr>
        <w:t>4.在投标方与招标方相关单位业务过程中，由于投标方违反安全管理规定造成安全事故（包括人身伤害事故/火险事故/盗窃事故/职业危害/食物中毒/交通事故等等），招标方有权依据事故严重程度/损失大小/影响程度等给予投标方壹万元到拾万元的安全处罚，情节严重的追究法律责任。</w:t>
      </w:r>
    </w:p>
    <w:p>
      <w:pPr>
        <w:spacing w:line="260" w:lineRule="exact"/>
        <w:ind w:firstLine="405"/>
        <w:jc w:val="left"/>
        <w:rPr>
          <w:sz w:val="18"/>
          <w:szCs w:val="18"/>
        </w:rPr>
      </w:pPr>
      <w:r>
        <w:rPr>
          <w:rFonts w:hint="eastAsia"/>
          <w:sz w:val="18"/>
          <w:szCs w:val="18"/>
        </w:rPr>
        <w:t>四、其他：</w:t>
      </w:r>
    </w:p>
    <w:p>
      <w:pPr>
        <w:spacing w:line="260" w:lineRule="exact"/>
        <w:ind w:firstLine="405"/>
        <w:jc w:val="left"/>
        <w:rPr>
          <w:sz w:val="18"/>
          <w:szCs w:val="18"/>
        </w:rPr>
      </w:pPr>
      <w:r>
        <w:rPr>
          <w:rFonts w:hint="eastAsia"/>
          <w:sz w:val="18"/>
          <w:szCs w:val="18"/>
        </w:rPr>
        <w:t>1本协议未尽事宜，应由招标方和投标方共同协商解决。</w:t>
      </w:r>
    </w:p>
    <w:p>
      <w:pPr>
        <w:spacing w:line="260" w:lineRule="exact"/>
        <w:ind w:firstLine="405"/>
        <w:jc w:val="left"/>
        <w:rPr>
          <w:sz w:val="18"/>
          <w:szCs w:val="18"/>
        </w:rPr>
      </w:pPr>
      <w:r>
        <w:rPr>
          <w:rFonts w:hint="eastAsia"/>
          <w:sz w:val="18"/>
          <w:szCs w:val="18"/>
        </w:rPr>
        <w:t>2本协议条款经甲、乙双方协商一致后签订，自盖章和／或签字之日起生效。</w:t>
      </w:r>
    </w:p>
    <w:p>
      <w:pPr>
        <w:spacing w:line="260" w:lineRule="exact"/>
        <w:jc w:val="left"/>
        <w:rPr>
          <w:sz w:val="18"/>
          <w:szCs w:val="18"/>
        </w:rPr>
      </w:pPr>
    </w:p>
    <w:p>
      <w:pPr>
        <w:spacing w:line="260" w:lineRule="exact"/>
        <w:ind w:firstLine="405"/>
        <w:jc w:val="left"/>
        <w:rPr>
          <w:sz w:val="18"/>
          <w:szCs w:val="18"/>
        </w:rPr>
      </w:pPr>
    </w:p>
    <w:p>
      <w:pPr>
        <w:spacing w:line="260" w:lineRule="exact"/>
        <w:jc w:val="left"/>
        <w:rPr>
          <w:sz w:val="18"/>
          <w:szCs w:val="18"/>
        </w:rPr>
      </w:pPr>
      <w:r>
        <w:rPr>
          <w:rFonts w:hint="eastAsia"/>
          <w:sz w:val="18"/>
          <w:szCs w:val="18"/>
        </w:rPr>
        <w:t xml:space="preserve">      投标方：</w:t>
      </w:r>
      <w:r>
        <w:rPr>
          <w:sz w:val="18"/>
          <w:szCs w:val="18"/>
        </w:rPr>
        <w:t xml:space="preserve"> </w:t>
      </w:r>
    </w:p>
    <w:p>
      <w:pPr>
        <w:spacing w:line="260" w:lineRule="exact"/>
        <w:jc w:val="left"/>
        <w:rPr>
          <w:sz w:val="18"/>
          <w:szCs w:val="18"/>
        </w:rPr>
      </w:pPr>
      <w:r>
        <w:rPr>
          <w:rFonts w:hint="eastAsia"/>
          <w:sz w:val="18"/>
          <w:szCs w:val="18"/>
        </w:rPr>
        <w:t xml:space="preserve">      签约人（盖章）：                                            </w:t>
      </w:r>
    </w:p>
    <w:p>
      <w:pPr>
        <w:tabs>
          <w:tab w:val="left" w:pos="676"/>
        </w:tabs>
        <w:jc w:val="left"/>
        <w:rPr>
          <w:rFonts w:ascii="宋体" w:hAnsi="宋体"/>
          <w:sz w:val="24"/>
          <w:szCs w:val="24"/>
        </w:rPr>
      </w:pPr>
    </w:p>
    <w:p>
      <w:pPr>
        <w:tabs>
          <w:tab w:val="left" w:pos="676"/>
        </w:tabs>
        <w:jc w:val="left"/>
        <w:rPr>
          <w:rFonts w:ascii="宋体" w:hAnsi="宋体"/>
          <w:sz w:val="24"/>
          <w:szCs w:val="24"/>
        </w:rPr>
      </w:pPr>
    </w:p>
    <w:sectPr>
      <w:footerReference r:id="rId4" w:type="default"/>
      <w:pgSz w:w="11906" w:h="16838"/>
      <w:pgMar w:top="1389" w:right="1797" w:bottom="1389" w:left="1797"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共8页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C"/>
    <w:multiLevelType w:val="multilevel"/>
    <w:tmpl w:val="0000000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57A5474"/>
    <w:multiLevelType w:val="multilevel"/>
    <w:tmpl w:val="657A547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722655"/>
    <w:multiLevelType w:val="multilevel"/>
    <w:tmpl w:val="7B722655"/>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EF"/>
    <w:rsid w:val="000019CC"/>
    <w:rsid w:val="00004105"/>
    <w:rsid w:val="00053ED2"/>
    <w:rsid w:val="00065C05"/>
    <w:rsid w:val="00087E0F"/>
    <w:rsid w:val="00092325"/>
    <w:rsid w:val="00094E3A"/>
    <w:rsid w:val="000A2214"/>
    <w:rsid w:val="000C1CBC"/>
    <w:rsid w:val="000E5B2C"/>
    <w:rsid w:val="000F5344"/>
    <w:rsid w:val="00133D4D"/>
    <w:rsid w:val="00136232"/>
    <w:rsid w:val="00172A27"/>
    <w:rsid w:val="00191A52"/>
    <w:rsid w:val="001D264E"/>
    <w:rsid w:val="0020361A"/>
    <w:rsid w:val="002718E8"/>
    <w:rsid w:val="00272850"/>
    <w:rsid w:val="002802D2"/>
    <w:rsid w:val="00285595"/>
    <w:rsid w:val="00285FE8"/>
    <w:rsid w:val="0029278E"/>
    <w:rsid w:val="002A77AB"/>
    <w:rsid w:val="002C092A"/>
    <w:rsid w:val="002D0ED7"/>
    <w:rsid w:val="002E15FE"/>
    <w:rsid w:val="00335DF3"/>
    <w:rsid w:val="003567A7"/>
    <w:rsid w:val="00357196"/>
    <w:rsid w:val="003844CE"/>
    <w:rsid w:val="00384CE9"/>
    <w:rsid w:val="00387B04"/>
    <w:rsid w:val="003A3F54"/>
    <w:rsid w:val="003B0268"/>
    <w:rsid w:val="00403168"/>
    <w:rsid w:val="00403DDD"/>
    <w:rsid w:val="00452955"/>
    <w:rsid w:val="00475CE9"/>
    <w:rsid w:val="00487759"/>
    <w:rsid w:val="004C6086"/>
    <w:rsid w:val="004D73E3"/>
    <w:rsid w:val="004F6F2F"/>
    <w:rsid w:val="00505A39"/>
    <w:rsid w:val="00535F9D"/>
    <w:rsid w:val="00566F84"/>
    <w:rsid w:val="005B0740"/>
    <w:rsid w:val="005E676A"/>
    <w:rsid w:val="006305CB"/>
    <w:rsid w:val="00635950"/>
    <w:rsid w:val="006646A2"/>
    <w:rsid w:val="00690D3B"/>
    <w:rsid w:val="00693CA1"/>
    <w:rsid w:val="006A18C7"/>
    <w:rsid w:val="006C21E5"/>
    <w:rsid w:val="006D00FB"/>
    <w:rsid w:val="006D64C4"/>
    <w:rsid w:val="006F368B"/>
    <w:rsid w:val="00710E67"/>
    <w:rsid w:val="00732A8D"/>
    <w:rsid w:val="007553E5"/>
    <w:rsid w:val="00757F99"/>
    <w:rsid w:val="007A4DDB"/>
    <w:rsid w:val="007E0BD0"/>
    <w:rsid w:val="008105F5"/>
    <w:rsid w:val="008E1B55"/>
    <w:rsid w:val="00915875"/>
    <w:rsid w:val="00944601"/>
    <w:rsid w:val="009533A6"/>
    <w:rsid w:val="00977581"/>
    <w:rsid w:val="0098167A"/>
    <w:rsid w:val="009B200A"/>
    <w:rsid w:val="009C1B41"/>
    <w:rsid w:val="009E07EC"/>
    <w:rsid w:val="009E3240"/>
    <w:rsid w:val="00A40F5D"/>
    <w:rsid w:val="00AA1626"/>
    <w:rsid w:val="00AB5267"/>
    <w:rsid w:val="00AD3730"/>
    <w:rsid w:val="00B4766F"/>
    <w:rsid w:val="00B7664D"/>
    <w:rsid w:val="00B81FC5"/>
    <w:rsid w:val="00BA13A3"/>
    <w:rsid w:val="00BD4611"/>
    <w:rsid w:val="00BF6243"/>
    <w:rsid w:val="00C00331"/>
    <w:rsid w:val="00C012EE"/>
    <w:rsid w:val="00C2780D"/>
    <w:rsid w:val="00C50C83"/>
    <w:rsid w:val="00C516C6"/>
    <w:rsid w:val="00C70B19"/>
    <w:rsid w:val="00C83796"/>
    <w:rsid w:val="00C90C9E"/>
    <w:rsid w:val="00C918FD"/>
    <w:rsid w:val="00C92B85"/>
    <w:rsid w:val="00CC0B57"/>
    <w:rsid w:val="00D17CBD"/>
    <w:rsid w:val="00D67C44"/>
    <w:rsid w:val="00D74CD6"/>
    <w:rsid w:val="00D75056"/>
    <w:rsid w:val="00D76FB7"/>
    <w:rsid w:val="00D94BFA"/>
    <w:rsid w:val="00DA2950"/>
    <w:rsid w:val="00E150D4"/>
    <w:rsid w:val="00E174F6"/>
    <w:rsid w:val="00E25AF6"/>
    <w:rsid w:val="00E61A87"/>
    <w:rsid w:val="00EC3E1F"/>
    <w:rsid w:val="00ED3C8D"/>
    <w:rsid w:val="00EE0FF1"/>
    <w:rsid w:val="00EF0BC2"/>
    <w:rsid w:val="00EF7440"/>
    <w:rsid w:val="00F35EB8"/>
    <w:rsid w:val="00F81046"/>
    <w:rsid w:val="00FA4B7D"/>
    <w:rsid w:val="00FB2BE5"/>
    <w:rsid w:val="00FD4787"/>
    <w:rsid w:val="00FE1FE5"/>
    <w:rsid w:val="01133753"/>
    <w:rsid w:val="011C07DF"/>
    <w:rsid w:val="011F7565"/>
    <w:rsid w:val="01314F01"/>
    <w:rsid w:val="01405D73"/>
    <w:rsid w:val="01A76081"/>
    <w:rsid w:val="024D6952"/>
    <w:rsid w:val="02A602E6"/>
    <w:rsid w:val="0314091A"/>
    <w:rsid w:val="032248A0"/>
    <w:rsid w:val="03D9195C"/>
    <w:rsid w:val="03EE607E"/>
    <w:rsid w:val="040E0B80"/>
    <w:rsid w:val="04191618"/>
    <w:rsid w:val="04506123"/>
    <w:rsid w:val="05826495"/>
    <w:rsid w:val="058D5B2B"/>
    <w:rsid w:val="059E5DC5"/>
    <w:rsid w:val="05D77224"/>
    <w:rsid w:val="060C04A7"/>
    <w:rsid w:val="06285281"/>
    <w:rsid w:val="0667328F"/>
    <w:rsid w:val="06A76277"/>
    <w:rsid w:val="06FA0280"/>
    <w:rsid w:val="0702568C"/>
    <w:rsid w:val="073161DB"/>
    <w:rsid w:val="076E6040"/>
    <w:rsid w:val="07C766CF"/>
    <w:rsid w:val="086A71DD"/>
    <w:rsid w:val="08A81240"/>
    <w:rsid w:val="09C87119"/>
    <w:rsid w:val="09D354AA"/>
    <w:rsid w:val="09DF1BBC"/>
    <w:rsid w:val="0A1A2CD6"/>
    <w:rsid w:val="0A6351E5"/>
    <w:rsid w:val="0A7375B2"/>
    <w:rsid w:val="0A8D5BDD"/>
    <w:rsid w:val="0B1338B8"/>
    <w:rsid w:val="0B4D3A4D"/>
    <w:rsid w:val="0B6D5D9D"/>
    <w:rsid w:val="0B7948E1"/>
    <w:rsid w:val="0BAD6117"/>
    <w:rsid w:val="0BBE75D4"/>
    <w:rsid w:val="0BE0558A"/>
    <w:rsid w:val="0C143618"/>
    <w:rsid w:val="0C3E33A6"/>
    <w:rsid w:val="0C3F0E27"/>
    <w:rsid w:val="0D020B65"/>
    <w:rsid w:val="0D53546C"/>
    <w:rsid w:val="0DBB0313"/>
    <w:rsid w:val="0DC444A6"/>
    <w:rsid w:val="0DF62E00"/>
    <w:rsid w:val="0E183F30"/>
    <w:rsid w:val="0E28280F"/>
    <w:rsid w:val="0E2D4DCF"/>
    <w:rsid w:val="0E7145BF"/>
    <w:rsid w:val="0EAB349F"/>
    <w:rsid w:val="0F470D9F"/>
    <w:rsid w:val="0F5074B0"/>
    <w:rsid w:val="0FC90073"/>
    <w:rsid w:val="0FE75425"/>
    <w:rsid w:val="105037D0"/>
    <w:rsid w:val="10526CD3"/>
    <w:rsid w:val="105C4446"/>
    <w:rsid w:val="110C64BC"/>
    <w:rsid w:val="113F0EDA"/>
    <w:rsid w:val="114E14F4"/>
    <w:rsid w:val="11A54101"/>
    <w:rsid w:val="11BC3D26"/>
    <w:rsid w:val="11C56BB4"/>
    <w:rsid w:val="125A4EAA"/>
    <w:rsid w:val="128105EC"/>
    <w:rsid w:val="12C9322D"/>
    <w:rsid w:val="13DD5026"/>
    <w:rsid w:val="14272421"/>
    <w:rsid w:val="144227CC"/>
    <w:rsid w:val="14601D7C"/>
    <w:rsid w:val="14640782"/>
    <w:rsid w:val="146604B0"/>
    <w:rsid w:val="14A951A8"/>
    <w:rsid w:val="14EA645D"/>
    <w:rsid w:val="153535BF"/>
    <w:rsid w:val="154B41DB"/>
    <w:rsid w:val="165840B5"/>
    <w:rsid w:val="16920D97"/>
    <w:rsid w:val="16B36D4D"/>
    <w:rsid w:val="16C31566"/>
    <w:rsid w:val="16C46FE7"/>
    <w:rsid w:val="16CE5378"/>
    <w:rsid w:val="16F14633"/>
    <w:rsid w:val="171F05FA"/>
    <w:rsid w:val="17356021"/>
    <w:rsid w:val="17B0376D"/>
    <w:rsid w:val="17B80B79"/>
    <w:rsid w:val="17BE4C81"/>
    <w:rsid w:val="18104A8B"/>
    <w:rsid w:val="18135A10"/>
    <w:rsid w:val="181A7E96"/>
    <w:rsid w:val="185D1307"/>
    <w:rsid w:val="18656713"/>
    <w:rsid w:val="187831B6"/>
    <w:rsid w:val="194D0C0F"/>
    <w:rsid w:val="1A2F1202"/>
    <w:rsid w:val="1ACD39E5"/>
    <w:rsid w:val="1B0E6672"/>
    <w:rsid w:val="1B4432C9"/>
    <w:rsid w:val="1BA05BE1"/>
    <w:rsid w:val="1BBB420C"/>
    <w:rsid w:val="1BE9345C"/>
    <w:rsid w:val="1C294840"/>
    <w:rsid w:val="1CE32D75"/>
    <w:rsid w:val="1D665416"/>
    <w:rsid w:val="1DB033C2"/>
    <w:rsid w:val="1F0F0D80"/>
    <w:rsid w:val="1F497C60"/>
    <w:rsid w:val="1F5C456C"/>
    <w:rsid w:val="1F784F2C"/>
    <w:rsid w:val="1F7C13B4"/>
    <w:rsid w:val="1FB821C3"/>
    <w:rsid w:val="1FE91D68"/>
    <w:rsid w:val="201A2537"/>
    <w:rsid w:val="205A0836"/>
    <w:rsid w:val="20657133"/>
    <w:rsid w:val="208A18F1"/>
    <w:rsid w:val="20A05C93"/>
    <w:rsid w:val="20C03266"/>
    <w:rsid w:val="20E40D06"/>
    <w:rsid w:val="20F6607A"/>
    <w:rsid w:val="212152E8"/>
    <w:rsid w:val="21477726"/>
    <w:rsid w:val="218D2419"/>
    <w:rsid w:val="224F7A01"/>
    <w:rsid w:val="22A763E9"/>
    <w:rsid w:val="23E634F2"/>
    <w:rsid w:val="243B4281"/>
    <w:rsid w:val="259E3EC8"/>
    <w:rsid w:val="25AA1ED9"/>
    <w:rsid w:val="25C11AFE"/>
    <w:rsid w:val="25C86D06"/>
    <w:rsid w:val="26004E66"/>
    <w:rsid w:val="2629602A"/>
    <w:rsid w:val="26446854"/>
    <w:rsid w:val="267A6D2E"/>
    <w:rsid w:val="26CE57E2"/>
    <w:rsid w:val="27062195"/>
    <w:rsid w:val="27263CD4"/>
    <w:rsid w:val="27573D69"/>
    <w:rsid w:val="27B66AB6"/>
    <w:rsid w:val="27CE635B"/>
    <w:rsid w:val="27F92A22"/>
    <w:rsid w:val="28295770"/>
    <w:rsid w:val="2845181D"/>
    <w:rsid w:val="28824F05"/>
    <w:rsid w:val="28F803C7"/>
    <w:rsid w:val="29120F71"/>
    <w:rsid w:val="294065BD"/>
    <w:rsid w:val="296576F6"/>
    <w:rsid w:val="297E60A1"/>
    <w:rsid w:val="29AC58EC"/>
    <w:rsid w:val="29C42F93"/>
    <w:rsid w:val="29D60CAE"/>
    <w:rsid w:val="2A67757C"/>
    <w:rsid w:val="2A7E5C44"/>
    <w:rsid w:val="2AA50082"/>
    <w:rsid w:val="2AAF3F41"/>
    <w:rsid w:val="2B1151B3"/>
    <w:rsid w:val="2B1A38C4"/>
    <w:rsid w:val="2B490CD8"/>
    <w:rsid w:val="2B8D5E01"/>
    <w:rsid w:val="2B922289"/>
    <w:rsid w:val="2BCE466D"/>
    <w:rsid w:val="2BDE4907"/>
    <w:rsid w:val="2BE43A47"/>
    <w:rsid w:val="2C1D7C6F"/>
    <w:rsid w:val="2C493A5F"/>
    <w:rsid w:val="2C6D2EF1"/>
    <w:rsid w:val="2CE9283B"/>
    <w:rsid w:val="2D3D22C5"/>
    <w:rsid w:val="2E2B1F4D"/>
    <w:rsid w:val="2E347F64"/>
    <w:rsid w:val="2E4607C8"/>
    <w:rsid w:val="2E7E1E9D"/>
    <w:rsid w:val="2E9118F2"/>
    <w:rsid w:val="2ECF002C"/>
    <w:rsid w:val="2ED139E0"/>
    <w:rsid w:val="2F0B37BA"/>
    <w:rsid w:val="2F15794C"/>
    <w:rsid w:val="2F2E62F8"/>
    <w:rsid w:val="2F3F0791"/>
    <w:rsid w:val="2FD46A86"/>
    <w:rsid w:val="2FFA4747"/>
    <w:rsid w:val="30440928"/>
    <w:rsid w:val="30696F79"/>
    <w:rsid w:val="3119131B"/>
    <w:rsid w:val="31414A5E"/>
    <w:rsid w:val="314A536E"/>
    <w:rsid w:val="31645F17"/>
    <w:rsid w:val="32537D9E"/>
    <w:rsid w:val="330133BA"/>
    <w:rsid w:val="33394FE2"/>
    <w:rsid w:val="335211E9"/>
    <w:rsid w:val="336B4FE8"/>
    <w:rsid w:val="338F62D2"/>
    <w:rsid w:val="33A72C4E"/>
    <w:rsid w:val="34885327"/>
    <w:rsid w:val="34A5186D"/>
    <w:rsid w:val="34CC172C"/>
    <w:rsid w:val="35F66C4B"/>
    <w:rsid w:val="36462C90"/>
    <w:rsid w:val="366C6C5A"/>
    <w:rsid w:val="36F82FBB"/>
    <w:rsid w:val="374D5F48"/>
    <w:rsid w:val="37C75C12"/>
    <w:rsid w:val="37CD4298"/>
    <w:rsid w:val="386F7324"/>
    <w:rsid w:val="38826345"/>
    <w:rsid w:val="391E61C3"/>
    <w:rsid w:val="39825EE7"/>
    <w:rsid w:val="39964B88"/>
    <w:rsid w:val="3A40759F"/>
    <w:rsid w:val="3A6E266D"/>
    <w:rsid w:val="3A856A0F"/>
    <w:rsid w:val="3ADA3F1A"/>
    <w:rsid w:val="3B471E5C"/>
    <w:rsid w:val="3B9B1DDA"/>
    <w:rsid w:val="3BA65BED"/>
    <w:rsid w:val="3BE86656"/>
    <w:rsid w:val="3C1F67B0"/>
    <w:rsid w:val="3C263F3D"/>
    <w:rsid w:val="3C3B634E"/>
    <w:rsid w:val="3C700BE3"/>
    <w:rsid w:val="3CE355F4"/>
    <w:rsid w:val="3CEE0102"/>
    <w:rsid w:val="3CEE3985"/>
    <w:rsid w:val="3D394CFE"/>
    <w:rsid w:val="3D593035"/>
    <w:rsid w:val="3E294607"/>
    <w:rsid w:val="3E2D6890"/>
    <w:rsid w:val="3E4A03BF"/>
    <w:rsid w:val="3ED1159C"/>
    <w:rsid w:val="3ED969A9"/>
    <w:rsid w:val="3EEB2146"/>
    <w:rsid w:val="3EFC7E62"/>
    <w:rsid w:val="3F366C1B"/>
    <w:rsid w:val="3F810BA4"/>
    <w:rsid w:val="407709D4"/>
    <w:rsid w:val="40842268"/>
    <w:rsid w:val="409812E3"/>
    <w:rsid w:val="41B13BD3"/>
    <w:rsid w:val="42076B60"/>
    <w:rsid w:val="42307D25"/>
    <w:rsid w:val="42654196"/>
    <w:rsid w:val="428264AA"/>
    <w:rsid w:val="42883C37"/>
    <w:rsid w:val="42920CC3"/>
    <w:rsid w:val="42B94406"/>
    <w:rsid w:val="42D53D36"/>
    <w:rsid w:val="432A1241"/>
    <w:rsid w:val="442723DE"/>
    <w:rsid w:val="4430746A"/>
    <w:rsid w:val="44804C20"/>
    <w:rsid w:val="44CF3AF0"/>
    <w:rsid w:val="44ED2286"/>
    <w:rsid w:val="44EE0B22"/>
    <w:rsid w:val="44F8378F"/>
    <w:rsid w:val="453F2EAB"/>
    <w:rsid w:val="454E56C4"/>
    <w:rsid w:val="457C4F0E"/>
    <w:rsid w:val="45A87057"/>
    <w:rsid w:val="45B20691"/>
    <w:rsid w:val="4650656B"/>
    <w:rsid w:val="46641988"/>
    <w:rsid w:val="466733A5"/>
    <w:rsid w:val="46B61793"/>
    <w:rsid w:val="46DE3850"/>
    <w:rsid w:val="46F25D8B"/>
    <w:rsid w:val="4782435E"/>
    <w:rsid w:val="47AF19AB"/>
    <w:rsid w:val="482218C9"/>
    <w:rsid w:val="48241969"/>
    <w:rsid w:val="4889710F"/>
    <w:rsid w:val="488C0094"/>
    <w:rsid w:val="488F18C3"/>
    <w:rsid w:val="48970623"/>
    <w:rsid w:val="48BD0863"/>
    <w:rsid w:val="48CC68FF"/>
    <w:rsid w:val="48CF29E0"/>
    <w:rsid w:val="48FA28C6"/>
    <w:rsid w:val="498176A7"/>
    <w:rsid w:val="498B21B5"/>
    <w:rsid w:val="49D412CE"/>
    <w:rsid w:val="4A17561C"/>
    <w:rsid w:val="4A1C3CA2"/>
    <w:rsid w:val="4A4B0874"/>
    <w:rsid w:val="4A5144FD"/>
    <w:rsid w:val="4A780CE0"/>
    <w:rsid w:val="4AA636B3"/>
    <w:rsid w:val="4AD978D9"/>
    <w:rsid w:val="4AF30483"/>
    <w:rsid w:val="4BB73A44"/>
    <w:rsid w:val="4BBF46D3"/>
    <w:rsid w:val="4BC352D8"/>
    <w:rsid w:val="4BC6625C"/>
    <w:rsid w:val="4C0C47D3"/>
    <w:rsid w:val="4CCC6E0F"/>
    <w:rsid w:val="4D640287"/>
    <w:rsid w:val="4D8330BA"/>
    <w:rsid w:val="4DBA3214"/>
    <w:rsid w:val="4DE8512F"/>
    <w:rsid w:val="4DF30DF0"/>
    <w:rsid w:val="4E3A6FE6"/>
    <w:rsid w:val="4E745EC6"/>
    <w:rsid w:val="4EDD67EF"/>
    <w:rsid w:val="4EF70A8C"/>
    <w:rsid w:val="4EF84E1A"/>
    <w:rsid w:val="4F0963B9"/>
    <w:rsid w:val="4F147FCE"/>
    <w:rsid w:val="4F3C208C"/>
    <w:rsid w:val="4F545534"/>
    <w:rsid w:val="4F6611DC"/>
    <w:rsid w:val="4F9A5CA8"/>
    <w:rsid w:val="4FF62B3F"/>
    <w:rsid w:val="505E3468"/>
    <w:rsid w:val="506E5C81"/>
    <w:rsid w:val="50852631"/>
    <w:rsid w:val="508820AE"/>
    <w:rsid w:val="509748C6"/>
    <w:rsid w:val="50EF224D"/>
    <w:rsid w:val="51114590"/>
    <w:rsid w:val="51147713"/>
    <w:rsid w:val="512457AF"/>
    <w:rsid w:val="518357C9"/>
    <w:rsid w:val="51A61200"/>
    <w:rsid w:val="51B4181B"/>
    <w:rsid w:val="520240E2"/>
    <w:rsid w:val="52CC0FE3"/>
    <w:rsid w:val="52DF2202"/>
    <w:rsid w:val="537A6F56"/>
    <w:rsid w:val="53DD2125"/>
    <w:rsid w:val="5438153A"/>
    <w:rsid w:val="554B5B7F"/>
    <w:rsid w:val="55737D25"/>
    <w:rsid w:val="558A5663"/>
    <w:rsid w:val="561A16CF"/>
    <w:rsid w:val="56594A37"/>
    <w:rsid w:val="5677786A"/>
    <w:rsid w:val="569D4227"/>
    <w:rsid w:val="56D33437"/>
    <w:rsid w:val="56EF622F"/>
    <w:rsid w:val="57335A1F"/>
    <w:rsid w:val="57784E8F"/>
    <w:rsid w:val="577B5E13"/>
    <w:rsid w:val="578C26D2"/>
    <w:rsid w:val="57BB0DFB"/>
    <w:rsid w:val="57D65228"/>
    <w:rsid w:val="584C3F6D"/>
    <w:rsid w:val="588440C7"/>
    <w:rsid w:val="58DE7C59"/>
    <w:rsid w:val="58FC74DE"/>
    <w:rsid w:val="593B2F31"/>
    <w:rsid w:val="595924E1"/>
    <w:rsid w:val="597A58D9"/>
    <w:rsid w:val="59A4671D"/>
    <w:rsid w:val="59A738E2"/>
    <w:rsid w:val="59BB1BC6"/>
    <w:rsid w:val="59C21551"/>
    <w:rsid w:val="59EF6B9D"/>
    <w:rsid w:val="59F00D9B"/>
    <w:rsid w:val="5A4056A2"/>
    <w:rsid w:val="5A4D36B3"/>
    <w:rsid w:val="5AAB14CE"/>
    <w:rsid w:val="5AB05956"/>
    <w:rsid w:val="5AFA4AD0"/>
    <w:rsid w:val="5B03795E"/>
    <w:rsid w:val="5B355BAF"/>
    <w:rsid w:val="5B7205D2"/>
    <w:rsid w:val="5C665027"/>
    <w:rsid w:val="5CAA0F94"/>
    <w:rsid w:val="5CAB4497"/>
    <w:rsid w:val="5CED0783"/>
    <w:rsid w:val="5D3B6304"/>
    <w:rsid w:val="5D5723B1"/>
    <w:rsid w:val="5D934795"/>
    <w:rsid w:val="5D9C7622"/>
    <w:rsid w:val="5DA73435"/>
    <w:rsid w:val="5ECD7994"/>
    <w:rsid w:val="5EF7405C"/>
    <w:rsid w:val="5F4253D5"/>
    <w:rsid w:val="5F661C19"/>
    <w:rsid w:val="5FA75879"/>
    <w:rsid w:val="5FD849CF"/>
    <w:rsid w:val="6061582C"/>
    <w:rsid w:val="60E0532D"/>
    <w:rsid w:val="612236EC"/>
    <w:rsid w:val="61227E69"/>
    <w:rsid w:val="61CC56FC"/>
    <w:rsid w:val="623E513D"/>
    <w:rsid w:val="629F3EDD"/>
    <w:rsid w:val="62A712E9"/>
    <w:rsid w:val="634A2CF1"/>
    <w:rsid w:val="63616199"/>
    <w:rsid w:val="63A65609"/>
    <w:rsid w:val="63AA400F"/>
    <w:rsid w:val="64451C8F"/>
    <w:rsid w:val="64E32E12"/>
    <w:rsid w:val="64ED11A3"/>
    <w:rsid w:val="65605C5F"/>
    <w:rsid w:val="656136E1"/>
    <w:rsid w:val="657D778E"/>
    <w:rsid w:val="659628B6"/>
    <w:rsid w:val="66111092"/>
    <w:rsid w:val="664E5AB7"/>
    <w:rsid w:val="66903DD3"/>
    <w:rsid w:val="669F1390"/>
    <w:rsid w:val="66D954CC"/>
    <w:rsid w:val="67600C28"/>
    <w:rsid w:val="677D6E2B"/>
    <w:rsid w:val="67AC32A5"/>
    <w:rsid w:val="6858593D"/>
    <w:rsid w:val="68883F0D"/>
    <w:rsid w:val="68CA01FA"/>
    <w:rsid w:val="69162878"/>
    <w:rsid w:val="694F3011"/>
    <w:rsid w:val="6AC22533"/>
    <w:rsid w:val="6AEC66A3"/>
    <w:rsid w:val="6B157DBF"/>
    <w:rsid w:val="6BBB054D"/>
    <w:rsid w:val="6BD126F0"/>
    <w:rsid w:val="6BDB535E"/>
    <w:rsid w:val="6C0463C2"/>
    <w:rsid w:val="6C5C4853"/>
    <w:rsid w:val="6C606ADC"/>
    <w:rsid w:val="6C734478"/>
    <w:rsid w:val="6C786381"/>
    <w:rsid w:val="6C7A1884"/>
    <w:rsid w:val="6CB873A6"/>
    <w:rsid w:val="6CD46A9B"/>
    <w:rsid w:val="6D2D29AD"/>
    <w:rsid w:val="6D645085"/>
    <w:rsid w:val="6D652B07"/>
    <w:rsid w:val="6D7F51B5"/>
    <w:rsid w:val="6DA35E6F"/>
    <w:rsid w:val="6DD540BF"/>
    <w:rsid w:val="6DE05CD4"/>
    <w:rsid w:val="6E34575E"/>
    <w:rsid w:val="6EA24B41"/>
    <w:rsid w:val="6EA43493"/>
    <w:rsid w:val="6EAB66A1"/>
    <w:rsid w:val="6EC262C6"/>
    <w:rsid w:val="6EDB5B6B"/>
    <w:rsid w:val="6EE367FB"/>
    <w:rsid w:val="6F1A0ED3"/>
    <w:rsid w:val="6FB520D2"/>
    <w:rsid w:val="6FFA5FC3"/>
    <w:rsid w:val="70450B90"/>
    <w:rsid w:val="70920AC0"/>
    <w:rsid w:val="70BA6401"/>
    <w:rsid w:val="70F25E9A"/>
    <w:rsid w:val="710245F7"/>
    <w:rsid w:val="71255AB0"/>
    <w:rsid w:val="71791CB7"/>
    <w:rsid w:val="717F7444"/>
    <w:rsid w:val="719360E4"/>
    <w:rsid w:val="71F37403"/>
    <w:rsid w:val="724F0A16"/>
    <w:rsid w:val="72683B3E"/>
    <w:rsid w:val="7296213D"/>
    <w:rsid w:val="732C4B81"/>
    <w:rsid w:val="734325A8"/>
    <w:rsid w:val="735D69D5"/>
    <w:rsid w:val="73792A82"/>
    <w:rsid w:val="73992FB6"/>
    <w:rsid w:val="74597B71"/>
    <w:rsid w:val="749C3ADE"/>
    <w:rsid w:val="749E6FE1"/>
    <w:rsid w:val="74E07D1F"/>
    <w:rsid w:val="75101716"/>
    <w:rsid w:val="751524A3"/>
    <w:rsid w:val="7536625B"/>
    <w:rsid w:val="75815055"/>
    <w:rsid w:val="75D4705E"/>
    <w:rsid w:val="75E93780"/>
    <w:rsid w:val="75EE7C07"/>
    <w:rsid w:val="75FA3A1A"/>
    <w:rsid w:val="760011A7"/>
    <w:rsid w:val="761C5254"/>
    <w:rsid w:val="770045CD"/>
    <w:rsid w:val="77532D52"/>
    <w:rsid w:val="776E4C01"/>
    <w:rsid w:val="779E794E"/>
    <w:rsid w:val="77E90CC7"/>
    <w:rsid w:val="78166313"/>
    <w:rsid w:val="781A4D19"/>
    <w:rsid w:val="78846947"/>
    <w:rsid w:val="79114E24"/>
    <w:rsid w:val="796F1DC8"/>
    <w:rsid w:val="79FA77AD"/>
    <w:rsid w:val="7A2463F3"/>
    <w:rsid w:val="7A2618F6"/>
    <w:rsid w:val="7A271576"/>
    <w:rsid w:val="7A4778AC"/>
    <w:rsid w:val="7A561ABB"/>
    <w:rsid w:val="7A6D13A5"/>
    <w:rsid w:val="7A741675"/>
    <w:rsid w:val="7AA421C5"/>
    <w:rsid w:val="7B0A59B4"/>
    <w:rsid w:val="7B135CFC"/>
    <w:rsid w:val="7B2C79C8"/>
    <w:rsid w:val="7B2D68A5"/>
    <w:rsid w:val="7B95754E"/>
    <w:rsid w:val="7C3D44E4"/>
    <w:rsid w:val="7C45606D"/>
    <w:rsid w:val="7C75463E"/>
    <w:rsid w:val="7C7620C0"/>
    <w:rsid w:val="7CB9602C"/>
    <w:rsid w:val="7D5671AF"/>
    <w:rsid w:val="7DD2237C"/>
    <w:rsid w:val="7DEA41A0"/>
    <w:rsid w:val="7E300197"/>
    <w:rsid w:val="7E994343"/>
    <w:rsid w:val="7EC85D8C"/>
    <w:rsid w:val="7F2A03AF"/>
    <w:rsid w:val="7F4B6365"/>
    <w:rsid w:val="7FA2537E"/>
    <w:rsid w:val="7FDA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adjustRightInd w:val="0"/>
      <w:spacing w:before="260" w:after="260" w:line="416" w:lineRule="atLeast"/>
      <w:textAlignment w:val="baseline"/>
      <w:outlineLvl w:val="2"/>
    </w:pPr>
    <w:rPr>
      <w:b/>
      <w:kern w:val="0"/>
      <w:sz w:val="32"/>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unhideWhenUsed/>
    <w:uiPriority w:val="0"/>
    <w:rPr>
      <w:b/>
      <w:bCs/>
    </w:rPr>
  </w:style>
  <w:style w:type="paragraph" w:styleId="4">
    <w:name w:val="annotation text"/>
    <w:basedOn w:val="1"/>
    <w:link w:val="18"/>
    <w:unhideWhenUsed/>
    <w:uiPriority w:val="0"/>
    <w:pPr>
      <w:jc w:val="left"/>
    </w:pPr>
  </w:style>
  <w:style w:type="paragraph" w:styleId="5">
    <w:name w:val="Body Text"/>
    <w:basedOn w:val="1"/>
    <w:qFormat/>
    <w:uiPriority w:val="0"/>
    <w:rPr>
      <w:sz w:val="32"/>
    </w:rPr>
  </w:style>
  <w:style w:type="paragraph" w:styleId="6">
    <w:name w:val="Balloon Text"/>
    <w:basedOn w:val="1"/>
    <w:link w:val="20"/>
    <w:unhideWhenUsed/>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character" w:styleId="11">
    <w:name w:val="Hyperlink"/>
    <w:basedOn w:val="9"/>
    <w:unhideWhenUsed/>
    <w:qFormat/>
    <w:uiPriority w:val="0"/>
    <w:rPr>
      <w:color w:val="0000FF"/>
      <w:u w:val="single"/>
    </w:rPr>
  </w:style>
  <w:style w:type="character" w:styleId="12">
    <w:name w:val="annotation reference"/>
    <w:basedOn w:val="9"/>
    <w:unhideWhenUsed/>
    <w:uiPriority w:val="0"/>
    <w:rPr>
      <w:sz w:val="21"/>
      <w:szCs w:val="21"/>
    </w:rPr>
  </w:style>
  <w:style w:type="paragraph" w:customStyle="1" w:styleId="14">
    <w:name w:val="列出段落1"/>
    <w:basedOn w:val="1"/>
    <w:qFormat/>
    <w:uiPriority w:val="34"/>
    <w:pPr>
      <w:ind w:firstLine="420" w:firstLineChars="200"/>
    </w:pPr>
  </w:style>
  <w:style w:type="paragraph" w:customStyle="1" w:styleId="15">
    <w:name w:val="p0"/>
    <w:basedOn w:val="1"/>
    <w:qFormat/>
    <w:uiPriority w:val="0"/>
    <w:pPr>
      <w:widowControl/>
    </w:pPr>
    <w:rPr>
      <w:kern w:val="0"/>
      <w:szCs w:val="21"/>
    </w:rPr>
  </w:style>
  <w:style w:type="character" w:customStyle="1" w:styleId="16">
    <w:name w:val="font41"/>
    <w:basedOn w:val="9"/>
    <w:qFormat/>
    <w:uiPriority w:val="0"/>
    <w:rPr>
      <w:rFonts w:hint="eastAsia" w:ascii="宋体" w:hAnsi="宋体" w:eastAsia="宋体" w:cs="宋体"/>
      <w:color w:val="000000"/>
      <w:sz w:val="22"/>
      <w:szCs w:val="22"/>
      <w:u w:val="none"/>
    </w:rPr>
  </w:style>
  <w:style w:type="paragraph" w:customStyle="1" w:styleId="17">
    <w:name w:val="列出段落2"/>
    <w:basedOn w:val="1"/>
    <w:uiPriority w:val="0"/>
    <w:pPr>
      <w:ind w:firstLine="420" w:firstLineChars="200"/>
    </w:pPr>
    <w:rPr>
      <w:rFonts w:ascii="Calibri" w:hAnsi="Calibri" w:cs="黑体"/>
      <w:szCs w:val="22"/>
    </w:rPr>
  </w:style>
  <w:style w:type="character" w:customStyle="1" w:styleId="18">
    <w:name w:val="批注文字 Char"/>
    <w:basedOn w:val="9"/>
    <w:link w:val="4"/>
    <w:semiHidden/>
    <w:uiPriority w:val="0"/>
    <w:rPr>
      <w:kern w:val="2"/>
      <w:sz w:val="21"/>
    </w:rPr>
  </w:style>
  <w:style w:type="character" w:customStyle="1" w:styleId="19">
    <w:name w:val="批注主题 Char"/>
    <w:basedOn w:val="18"/>
    <w:link w:val="3"/>
    <w:semiHidden/>
    <w:qFormat/>
    <w:uiPriority w:val="0"/>
    <w:rPr>
      <w:b/>
      <w:bCs/>
    </w:rPr>
  </w:style>
  <w:style w:type="character" w:customStyle="1" w:styleId="20">
    <w:name w:val="批注框文本 Char"/>
    <w:basedOn w:val="9"/>
    <w:link w:val="6"/>
    <w:semiHidden/>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qqq</Company>
  <Pages>10</Pages>
  <Words>1018</Words>
  <Characters>5804</Characters>
  <Lines>48</Lines>
  <Paragraphs>13</Paragraphs>
  <TotalTime>0</TotalTime>
  <ScaleCrop>false</ScaleCrop>
  <LinksUpToDate>false</LinksUpToDate>
  <CharactersWithSpaces>6809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2017-07-27T07:19:00Z</dcterms:created>
  <dc:creator>Administrator</dc:creator>
  <cp:lastModifiedBy>liuying</cp:lastModifiedBy>
  <cp:lastPrinted>2017-08-04T06:48:00Z</cp:lastPrinted>
  <dcterms:modified xsi:type="dcterms:W3CDTF">2017-08-10T08:40:59Z</dcterms:modified>
  <dc:title>招标项目名称：中节能太阳能科技（镇江）有限公司动力站无油螺杆式空气压缩机组采购项目（一期）。_x000b_2、投标申请人应具备以下条件并提供相关证明材料：_x000b_（1）投标申请人必须具有独立法人资格；_x000b_（2）国外厂商委托国内贸易公司或代理商进行投标，需取得国外公司的授权委托函及针对本项目的担保书；_x000b_（3）生产制造商的ISO9000质量认证证书；_x000b_（4）生产制造商应具有生产制造无油螺杆式空压机的经验；_x000b_（5）近三年无诉讼；</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